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76B4C" w14:textId="28E7D706" w:rsidR="0083245D" w:rsidRPr="000910A3"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1. Alcance del programa, incluyendo número de hogares beneficiarios, departamentos priorizados, cronograma de implementación y fuentes de financiación.</w:t>
      </w:r>
    </w:p>
    <w:p w14:paraId="2012BB9B" w14:textId="77777777" w:rsidR="00637DD7" w:rsidRPr="000910A3"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En la estrega de comunidades energéticas</w:t>
      </w:r>
      <w:r w:rsidR="00361AB6" w:rsidRPr="000910A3">
        <w:rPr>
          <w:rFonts w:ascii="Arial" w:hAnsi="Arial" w:cs="Arial"/>
          <w:color w:val="000000"/>
          <w:shd w:val="clear" w:color="auto" w:fill="FFFFFF"/>
        </w:rPr>
        <w:t xml:space="preserve">, con </w:t>
      </w:r>
      <w:r w:rsidRPr="000910A3">
        <w:rPr>
          <w:rFonts w:ascii="Arial" w:hAnsi="Arial" w:cs="Arial"/>
          <w:color w:val="000000"/>
          <w:shd w:val="clear" w:color="auto" w:fill="FFFFFF"/>
        </w:rPr>
        <w:t xml:space="preserve">  </w:t>
      </w:r>
      <w:r w:rsidR="00361AB6" w:rsidRPr="000910A3">
        <w:rPr>
          <w:rFonts w:ascii="Arial" w:hAnsi="Arial" w:cs="Arial"/>
          <w:color w:val="000000"/>
          <w:shd w:val="clear" w:color="auto" w:fill="FFFFFF"/>
        </w:rPr>
        <w:t>l</w:t>
      </w:r>
      <w:r w:rsidRPr="000910A3">
        <w:rPr>
          <w:rFonts w:ascii="Arial" w:hAnsi="Arial" w:cs="Arial"/>
          <w:color w:val="000000"/>
          <w:shd w:val="clear" w:color="auto" w:fill="FFFFFF"/>
        </w:rPr>
        <w:t>os proyectos presentados por los Operadores de Red fueron priorizados mediante una </w:t>
      </w:r>
      <w:r w:rsidRPr="000910A3">
        <w:rPr>
          <w:rFonts w:ascii="Arial" w:hAnsi="Arial" w:cs="Arial"/>
          <w:b/>
          <w:bCs/>
          <w:color w:val="000000"/>
          <w:shd w:val="clear" w:color="auto" w:fill="FFFFFF"/>
        </w:rPr>
        <w:t>metodología multicriterio</w:t>
      </w:r>
      <w:r w:rsidRPr="000910A3">
        <w:rPr>
          <w:rFonts w:ascii="Arial" w:hAnsi="Arial" w:cs="Arial"/>
          <w:color w:val="000000"/>
          <w:shd w:val="clear" w:color="auto" w:fill="FFFFFF"/>
        </w:rPr>
        <w:t xml:space="preserve"> diseñada para ordenar las iniciativas con mayor madurez, impacto y viabilidad de implementación. </w:t>
      </w:r>
    </w:p>
    <w:p w14:paraId="131EF3F3" w14:textId="77777777" w:rsidR="0083245D" w:rsidRPr="000910A3"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En primer lugar, se evaluaron variables de carácter </w:t>
      </w:r>
      <w:r w:rsidRPr="000910A3">
        <w:rPr>
          <w:rFonts w:ascii="Arial" w:hAnsi="Arial" w:cs="Arial"/>
          <w:b/>
          <w:bCs/>
          <w:color w:val="000000"/>
          <w:shd w:val="clear" w:color="auto" w:fill="FFFFFF"/>
        </w:rPr>
        <w:t>social y territorial</w:t>
      </w:r>
      <w:r w:rsidRPr="000910A3">
        <w:rPr>
          <w:rFonts w:ascii="Arial" w:hAnsi="Arial" w:cs="Arial"/>
          <w:color w:val="000000"/>
          <w:shd w:val="clear" w:color="auto" w:fill="FFFFFF"/>
        </w:rPr>
        <w:t>, como el </w:t>
      </w:r>
      <w:r w:rsidRPr="000910A3">
        <w:rPr>
          <w:rFonts w:ascii="Arial" w:hAnsi="Arial" w:cs="Arial"/>
          <w:b/>
          <w:bCs/>
          <w:color w:val="000000"/>
          <w:shd w:val="clear" w:color="auto" w:fill="FFFFFF"/>
        </w:rPr>
        <w:t>Índice de Pobreza Multidimensional, IPM</w:t>
      </w:r>
      <w:r w:rsidRPr="000910A3">
        <w:rPr>
          <w:rFonts w:ascii="Arial" w:hAnsi="Arial" w:cs="Arial"/>
          <w:color w:val="000000"/>
          <w:shd w:val="clear" w:color="auto" w:fill="FFFFFF"/>
        </w:rPr>
        <w:t>, y el </w:t>
      </w:r>
      <w:r w:rsidRPr="000910A3">
        <w:rPr>
          <w:rFonts w:ascii="Arial" w:hAnsi="Arial" w:cs="Arial"/>
          <w:b/>
          <w:bCs/>
          <w:color w:val="000000"/>
          <w:shd w:val="clear" w:color="auto" w:fill="FFFFFF"/>
        </w:rPr>
        <w:t>Índice de Pobreza Energética Multidimensional, IPEM</w:t>
      </w:r>
      <w:r w:rsidRPr="000910A3">
        <w:rPr>
          <w:rFonts w:ascii="Arial" w:hAnsi="Arial" w:cs="Arial"/>
          <w:color w:val="000000"/>
          <w:shd w:val="clear" w:color="auto" w:fill="FFFFFF"/>
        </w:rPr>
        <w:t>, con el fin de favorecer proyectos ubicados en territorios con mayores carencias estructurales y energéticas. También se incorporó el criterio de </w:t>
      </w:r>
      <w:r w:rsidRPr="000910A3">
        <w:rPr>
          <w:rFonts w:ascii="Arial" w:hAnsi="Arial" w:cs="Arial"/>
          <w:b/>
          <w:bCs/>
          <w:color w:val="000000"/>
          <w:shd w:val="clear" w:color="auto" w:fill="FFFFFF"/>
        </w:rPr>
        <w:t>departamentos de interés</w:t>
      </w:r>
      <w:r w:rsidRPr="000910A3">
        <w:rPr>
          <w:rFonts w:ascii="Arial" w:hAnsi="Arial" w:cs="Arial"/>
          <w:color w:val="000000"/>
          <w:shd w:val="clear" w:color="auto" w:fill="FFFFFF"/>
        </w:rPr>
        <w:t>, para alinear la inversión con prioridades territoriales del Gobierno nacional, así como el criterio de </w:t>
      </w:r>
      <w:r w:rsidRPr="000910A3">
        <w:rPr>
          <w:rFonts w:ascii="Arial" w:hAnsi="Arial" w:cs="Arial"/>
          <w:b/>
          <w:bCs/>
          <w:color w:val="000000"/>
          <w:shd w:val="clear" w:color="auto" w:fill="FFFFFF"/>
        </w:rPr>
        <w:t>compromisos específicos</w:t>
      </w:r>
      <w:r w:rsidRPr="000910A3">
        <w:rPr>
          <w:rFonts w:ascii="Arial" w:hAnsi="Arial" w:cs="Arial"/>
          <w:color w:val="000000"/>
          <w:shd w:val="clear" w:color="auto" w:fill="FFFFFF"/>
        </w:rPr>
        <w:t>, orientado a reconocer territorios donde existían obligaciones o compromisos previos del Estado.</w:t>
      </w:r>
    </w:p>
    <w:p w14:paraId="258160DC" w14:textId="77777777" w:rsidR="0083245D" w:rsidRPr="000910A3"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En segundo lugar, se analizaron variables asociadas a la </w:t>
      </w:r>
      <w:r w:rsidRPr="000910A3">
        <w:rPr>
          <w:rFonts w:ascii="Arial" w:hAnsi="Arial" w:cs="Arial"/>
          <w:b/>
          <w:bCs/>
          <w:color w:val="000000"/>
          <w:shd w:val="clear" w:color="auto" w:fill="FFFFFF"/>
        </w:rPr>
        <w:t>viabilidad y oportunidad de ejecución</w:t>
      </w:r>
      <w:r w:rsidRPr="000910A3">
        <w:rPr>
          <w:rFonts w:ascii="Arial" w:hAnsi="Arial" w:cs="Arial"/>
          <w:color w:val="000000"/>
          <w:shd w:val="clear" w:color="auto" w:fill="FFFFFF"/>
        </w:rPr>
        <w:t>. Entre estas se incluyó el </w:t>
      </w:r>
      <w:r w:rsidRPr="000910A3">
        <w:rPr>
          <w:rFonts w:ascii="Arial" w:hAnsi="Arial" w:cs="Arial"/>
          <w:b/>
          <w:bCs/>
          <w:color w:val="000000"/>
          <w:shd w:val="clear" w:color="auto" w:fill="FFFFFF"/>
        </w:rPr>
        <w:t>concepto de validación técnica</w:t>
      </w:r>
      <w:r w:rsidRPr="000910A3">
        <w:rPr>
          <w:rFonts w:ascii="Arial" w:hAnsi="Arial" w:cs="Arial"/>
          <w:color w:val="000000"/>
          <w:shd w:val="clear" w:color="auto" w:fill="FFFFFF"/>
        </w:rPr>
        <w:t>, que valoró la solidez jurídica, predial, técnica, ambiental, presupuestal y operativa de cada proyecto, y la </w:t>
      </w:r>
      <w:r w:rsidRPr="000910A3">
        <w:rPr>
          <w:rFonts w:ascii="Arial" w:hAnsi="Arial" w:cs="Arial"/>
          <w:b/>
          <w:bCs/>
          <w:color w:val="000000"/>
          <w:shd w:val="clear" w:color="auto" w:fill="FFFFFF"/>
        </w:rPr>
        <w:t>priorización interna</w:t>
      </w:r>
      <w:r w:rsidRPr="000910A3">
        <w:rPr>
          <w:rFonts w:ascii="Arial" w:hAnsi="Arial" w:cs="Arial"/>
          <w:color w:val="000000"/>
          <w:shd w:val="clear" w:color="auto" w:fill="FFFFFF"/>
        </w:rPr>
        <w:t>, que recogió la valoración institucional sobre la urgencia y posibilidad de entrada en operación de las iniciativas.</w:t>
      </w:r>
    </w:p>
    <w:p w14:paraId="6F6D9882" w14:textId="77777777" w:rsidR="0083245D" w:rsidRPr="000910A3"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En tercer lugar, la metodología incorporó criterios de </w:t>
      </w:r>
      <w:r w:rsidRPr="000910A3">
        <w:rPr>
          <w:rFonts w:ascii="Arial" w:hAnsi="Arial" w:cs="Arial"/>
          <w:b/>
          <w:bCs/>
          <w:color w:val="000000"/>
          <w:shd w:val="clear" w:color="auto" w:fill="FFFFFF"/>
        </w:rPr>
        <w:t>impacto y capacidad de implementación</w:t>
      </w:r>
      <w:r w:rsidRPr="000910A3">
        <w:rPr>
          <w:rFonts w:ascii="Arial" w:hAnsi="Arial" w:cs="Arial"/>
          <w:color w:val="000000"/>
          <w:shd w:val="clear" w:color="auto" w:fill="FFFFFF"/>
        </w:rPr>
        <w:t>, como el </w:t>
      </w:r>
      <w:r w:rsidRPr="000910A3">
        <w:rPr>
          <w:rFonts w:ascii="Arial" w:hAnsi="Arial" w:cs="Arial"/>
          <w:b/>
          <w:bCs/>
          <w:color w:val="000000"/>
          <w:shd w:val="clear" w:color="auto" w:fill="FFFFFF"/>
        </w:rPr>
        <w:t>número de usuarios a beneficiar</w:t>
      </w:r>
      <w:r w:rsidRPr="000910A3">
        <w:rPr>
          <w:rFonts w:ascii="Arial" w:hAnsi="Arial" w:cs="Arial"/>
          <w:color w:val="000000"/>
          <w:shd w:val="clear" w:color="auto" w:fill="FFFFFF"/>
        </w:rPr>
        <w:t>, que permitió privilegiar proyectos con mayor cobertura poblacional, y el </w:t>
      </w:r>
      <w:r w:rsidRPr="000910A3">
        <w:rPr>
          <w:rFonts w:ascii="Arial" w:hAnsi="Arial" w:cs="Arial"/>
          <w:b/>
          <w:bCs/>
          <w:color w:val="000000"/>
          <w:shd w:val="clear" w:color="auto" w:fill="FFFFFF"/>
        </w:rPr>
        <w:t>tipo de convenio</w:t>
      </w:r>
      <w:r w:rsidRPr="000910A3">
        <w:rPr>
          <w:rFonts w:ascii="Arial" w:hAnsi="Arial" w:cs="Arial"/>
          <w:color w:val="000000"/>
          <w:shd w:val="clear" w:color="auto" w:fill="FFFFFF"/>
        </w:rPr>
        <w:t>, que otorgó mejor valoración a esquemas de ejecución con operadores de red por su capacidad técnica y operativa para desarrollar las soluciones con mayor eficiencia.</w:t>
      </w:r>
    </w:p>
    <w:p w14:paraId="5A80A318" w14:textId="77777777" w:rsidR="0083245D" w:rsidRDefault="0083245D" w:rsidP="0083245D">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La combinación de estos ocho criterios produjo un </w:t>
      </w:r>
      <w:r w:rsidRPr="000910A3">
        <w:rPr>
          <w:rFonts w:ascii="Arial" w:hAnsi="Arial" w:cs="Arial"/>
          <w:b/>
          <w:bCs/>
          <w:color w:val="000000"/>
          <w:shd w:val="clear" w:color="auto" w:fill="FFFFFF"/>
        </w:rPr>
        <w:t>puntaje final calibrado</w:t>
      </w:r>
      <w:r w:rsidRPr="000910A3">
        <w:rPr>
          <w:rFonts w:ascii="Arial" w:hAnsi="Arial" w:cs="Arial"/>
          <w:color w:val="000000"/>
          <w:shd w:val="clear" w:color="auto" w:fill="FFFFFF"/>
        </w:rPr>
        <w:t>, a partir del cual se construyó el ranking de proyectos. Así, la selección de los proyectos con Operadores de Red no respondió a una decisión discrecional, sino a una evaluación técnica y comparable que integró condiciones sociales, energéticas, territoriales, institucionales y de madurez de cada propuesta.</w:t>
      </w:r>
    </w:p>
    <w:p w14:paraId="731DA8B3" w14:textId="77777777" w:rsidR="001A0337" w:rsidRDefault="001A0337" w:rsidP="001A0337">
      <w:pPr>
        <w:pStyle w:val="NormalWeb"/>
        <w:jc w:val="both"/>
        <w:rPr>
          <w:rFonts w:ascii="Arial" w:hAnsi="Arial" w:cs="Arial"/>
          <w:color w:val="000000"/>
          <w:shd w:val="clear" w:color="auto" w:fill="FFFFFF"/>
        </w:rPr>
      </w:pPr>
      <w:r>
        <w:rPr>
          <w:rFonts w:ascii="Arial" w:hAnsi="Arial" w:cs="Arial"/>
          <w:color w:val="000000"/>
          <w:shd w:val="clear" w:color="auto" w:fill="FFFFFF"/>
        </w:rPr>
        <w:t>En lo correspondiente al d</w:t>
      </w:r>
      <w:r w:rsidRPr="001A0337">
        <w:rPr>
          <w:rFonts w:ascii="Arial" w:hAnsi="Arial" w:cs="Arial"/>
          <w:color w:val="000000"/>
          <w:shd w:val="clear" w:color="auto" w:fill="FFFFFF"/>
        </w:rPr>
        <w:t>esarrollo de estrategias de implementación en la conformación y financiación de comunidades energéticas con Fuentes No Convencionales de Energía Renovable (FNCER) Nacional”, identificado con código BPIN 202400000000177. Se pone a su disposición como insumo para la elaboración de la respuesta al derecho de petición</w:t>
      </w:r>
    </w:p>
    <w:p w14:paraId="3A626E11" w14:textId="289ED24D" w:rsidR="001A0337" w:rsidRPr="001A0337" w:rsidRDefault="001A0337" w:rsidP="001A0337">
      <w:pPr>
        <w:pStyle w:val="NormalWeb"/>
        <w:jc w:val="both"/>
        <w:rPr>
          <w:rFonts w:ascii="Arial" w:hAnsi="Arial" w:cs="Arial"/>
          <w:color w:val="000000"/>
          <w:shd w:val="clear" w:color="auto" w:fill="FFFFFF"/>
        </w:rPr>
      </w:pPr>
      <w:r>
        <w:rPr>
          <w:rFonts w:ascii="Arial" w:hAnsi="Arial" w:cs="Arial"/>
          <w:color w:val="000000"/>
          <w:shd w:val="clear" w:color="auto" w:fill="FFFFFF"/>
        </w:rPr>
        <w:t xml:space="preserve">Se </w:t>
      </w:r>
      <w:r w:rsidR="00093D74">
        <w:rPr>
          <w:rFonts w:ascii="Arial" w:hAnsi="Arial" w:cs="Arial"/>
          <w:color w:val="000000"/>
          <w:shd w:val="clear" w:color="auto" w:fill="FFFFFF"/>
        </w:rPr>
        <w:t xml:space="preserve">anexa </w:t>
      </w:r>
      <w:r w:rsidR="00093D74" w:rsidRPr="001A0337">
        <w:rPr>
          <w:rFonts w:ascii="Arial" w:hAnsi="Arial" w:cs="Arial"/>
          <w:color w:val="000000"/>
          <w:shd w:val="clear" w:color="auto" w:fill="FFFFFF"/>
        </w:rPr>
        <w:t>archivo</w:t>
      </w:r>
      <w:r>
        <w:rPr>
          <w:rFonts w:ascii="Arial" w:hAnsi="Arial" w:cs="Arial"/>
          <w:color w:val="000000"/>
          <w:shd w:val="clear" w:color="auto" w:fill="FFFFFF"/>
        </w:rPr>
        <w:t xml:space="preserve"> de </w:t>
      </w:r>
      <w:proofErr w:type="spellStart"/>
      <w:r>
        <w:rPr>
          <w:rFonts w:ascii="Arial" w:hAnsi="Arial" w:cs="Arial"/>
          <w:color w:val="000000"/>
          <w:shd w:val="clear" w:color="auto" w:fill="FFFFFF"/>
        </w:rPr>
        <w:t>excel</w:t>
      </w:r>
      <w:proofErr w:type="spellEnd"/>
      <w:r w:rsidRPr="001A0337">
        <w:rPr>
          <w:rFonts w:ascii="Arial" w:hAnsi="Arial" w:cs="Arial"/>
          <w:color w:val="000000"/>
          <w:shd w:val="clear" w:color="auto" w:fill="FFFFFF"/>
        </w:rPr>
        <w:t xml:space="preserve"> </w:t>
      </w:r>
      <w:r w:rsidR="00A955D4">
        <w:rPr>
          <w:rFonts w:ascii="Arial" w:hAnsi="Arial" w:cs="Arial"/>
          <w:color w:val="000000"/>
          <w:shd w:val="clear" w:color="auto" w:fill="FFFFFF"/>
        </w:rPr>
        <w:t xml:space="preserve">que </w:t>
      </w:r>
      <w:r w:rsidRPr="001A0337">
        <w:rPr>
          <w:rFonts w:ascii="Arial" w:hAnsi="Arial" w:cs="Arial"/>
          <w:color w:val="000000"/>
          <w:shd w:val="clear" w:color="auto" w:fill="FFFFFF"/>
        </w:rPr>
        <w:t>contiene la información del cronograma asociado al ajuste del proyecto a cuota asignada para la vigencia 2026 en la Plataforma Integrada de Inversión Pública (PIIP)</w:t>
      </w:r>
      <w:r w:rsidR="00093D74">
        <w:rPr>
          <w:rFonts w:ascii="Arial" w:hAnsi="Arial" w:cs="Arial"/>
          <w:color w:val="000000"/>
          <w:shd w:val="clear" w:color="auto" w:fill="FFFFFF"/>
        </w:rPr>
        <w:t>. L</w:t>
      </w:r>
      <w:r w:rsidRPr="001A0337">
        <w:rPr>
          <w:rFonts w:ascii="Arial" w:hAnsi="Arial" w:cs="Arial"/>
          <w:color w:val="000000"/>
          <w:shd w:val="clear" w:color="auto" w:fill="FFFFFF"/>
        </w:rPr>
        <w:t>a fuente de financiación del mencionado proyecto de inversión es "PGN -Presupuesto General de la Nación".</w:t>
      </w:r>
    </w:p>
    <w:p w14:paraId="2DAD64DF" w14:textId="6D254DA0" w:rsidR="001A0337" w:rsidRPr="001A0337" w:rsidRDefault="001A0337" w:rsidP="001A0337">
      <w:pPr>
        <w:pStyle w:val="NormalWeb"/>
        <w:jc w:val="both"/>
        <w:rPr>
          <w:rFonts w:ascii="Arial" w:hAnsi="Arial" w:cs="Arial"/>
          <w:color w:val="000000"/>
          <w:shd w:val="clear" w:color="auto" w:fill="FFFFFF"/>
        </w:rPr>
      </w:pPr>
    </w:p>
    <w:p w14:paraId="67C123F3" w14:textId="70038242" w:rsidR="001A0337" w:rsidRPr="000910A3" w:rsidRDefault="001A0337" w:rsidP="0083245D">
      <w:pPr>
        <w:pStyle w:val="NormalWeb"/>
        <w:jc w:val="both"/>
        <w:rPr>
          <w:rFonts w:ascii="Arial" w:hAnsi="Arial" w:cs="Arial"/>
          <w:color w:val="000000"/>
          <w:shd w:val="clear" w:color="auto" w:fill="FFFFFF"/>
        </w:rPr>
      </w:pPr>
    </w:p>
    <w:p w14:paraId="1BD7B346" w14:textId="77777777" w:rsidR="0083245D" w:rsidRPr="000910A3" w:rsidRDefault="0083245D" w:rsidP="00FF5975">
      <w:pPr>
        <w:pStyle w:val="NormalWeb"/>
        <w:rPr>
          <w:rFonts w:ascii="Arial" w:hAnsi="Arial" w:cs="Arial"/>
          <w:color w:val="000000"/>
          <w:shd w:val="clear" w:color="auto" w:fill="FFFFFF"/>
        </w:rPr>
      </w:pPr>
    </w:p>
    <w:p w14:paraId="565801D4" w14:textId="1E67364A" w:rsidR="00FF5975" w:rsidRPr="000910A3" w:rsidRDefault="00361AB6" w:rsidP="00FF5975">
      <w:pPr>
        <w:pStyle w:val="NormalWeb"/>
        <w:rPr>
          <w:rFonts w:ascii="Arial" w:hAnsi="Arial" w:cs="Arial"/>
          <w:color w:val="000000"/>
          <w:shd w:val="clear" w:color="auto" w:fill="FFFFFF"/>
        </w:rPr>
      </w:pPr>
      <w:r w:rsidRPr="000910A3">
        <w:rPr>
          <w:rFonts w:ascii="Arial" w:hAnsi="Arial" w:cs="Arial"/>
          <w:color w:val="000000"/>
          <w:shd w:val="clear" w:color="auto" w:fill="FFFFFF"/>
        </w:rPr>
        <w:t>2</w:t>
      </w:r>
      <w:r w:rsidR="00FF5975" w:rsidRPr="000910A3">
        <w:rPr>
          <w:rFonts w:ascii="Arial" w:hAnsi="Arial" w:cs="Arial"/>
          <w:color w:val="000000"/>
          <w:shd w:val="clear" w:color="auto" w:fill="FFFFFF"/>
        </w:rPr>
        <w:t>.Cobertura prevista para Atlántico, Magdalena y La Guajira, especificando número de hogares beneficiarios, municipios priorizados, criterios de focalización y fases de atención.</w:t>
      </w:r>
    </w:p>
    <w:p w14:paraId="161BA8B5" w14:textId="4C3183D4" w:rsidR="0083245D" w:rsidRPr="000910A3" w:rsidRDefault="0083245D" w:rsidP="00684F88">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 xml:space="preserve">Dentro de la estrategia de comunidades energéticas se tomaron los criterios de priorización para la selección de los </w:t>
      </w:r>
      <w:r w:rsidR="006E4248" w:rsidRPr="000910A3">
        <w:rPr>
          <w:rFonts w:ascii="Arial" w:hAnsi="Arial" w:cs="Arial"/>
          <w:color w:val="000000"/>
          <w:shd w:val="clear" w:color="auto" w:fill="FFFFFF"/>
        </w:rPr>
        <w:t>proyectos</w:t>
      </w:r>
      <w:r w:rsidRPr="000910A3">
        <w:rPr>
          <w:rFonts w:ascii="Arial" w:hAnsi="Arial" w:cs="Arial"/>
          <w:color w:val="000000"/>
          <w:shd w:val="clear" w:color="auto" w:fill="FFFFFF"/>
        </w:rPr>
        <w:t xml:space="preserve"> de los OR con los cuales se implementarán las comunidades fueron los siguientes:</w:t>
      </w:r>
    </w:p>
    <w:p w14:paraId="3E23F17C"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Índice de Pobreza Multidimensional, IPM</w:t>
      </w:r>
    </w:p>
    <w:p w14:paraId="03F3F1B3"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Índice de Pobreza Energética Multidimensional, IPEM</w:t>
      </w:r>
    </w:p>
    <w:p w14:paraId="408C16BA"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Concepto de validación técnica</w:t>
      </w:r>
    </w:p>
    <w:p w14:paraId="5950A7F9"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Priorización interna</w:t>
      </w:r>
    </w:p>
    <w:p w14:paraId="0648E376"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Número de usuarios a beneficiar</w:t>
      </w:r>
    </w:p>
    <w:p w14:paraId="354ADDD7"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Tipo de convenio</w:t>
      </w:r>
    </w:p>
    <w:p w14:paraId="142D4EE2" w14:textId="77777777"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Departamentos de interés</w:t>
      </w:r>
    </w:p>
    <w:p w14:paraId="144ECB1C" w14:textId="0B6B8D8C" w:rsidR="0083245D" w:rsidRPr="000910A3" w:rsidRDefault="0083245D" w:rsidP="0083245D">
      <w:pPr>
        <w:pStyle w:val="NormalWeb"/>
        <w:numPr>
          <w:ilvl w:val="0"/>
          <w:numId w:val="5"/>
        </w:numPr>
        <w:rPr>
          <w:rFonts w:ascii="Arial" w:hAnsi="Arial" w:cs="Arial"/>
          <w:color w:val="000000"/>
          <w:shd w:val="clear" w:color="auto" w:fill="FFFFFF"/>
        </w:rPr>
      </w:pPr>
      <w:r w:rsidRPr="000910A3">
        <w:rPr>
          <w:rFonts w:ascii="Arial" w:hAnsi="Arial" w:cs="Arial"/>
          <w:color w:val="000000"/>
          <w:shd w:val="clear" w:color="auto" w:fill="FFFFFF"/>
        </w:rPr>
        <w:t>Compromisos específicos</w:t>
      </w:r>
    </w:p>
    <w:p w14:paraId="239FB629" w14:textId="03D88CC1" w:rsidR="00684F88" w:rsidRPr="000910A3" w:rsidRDefault="00684F88" w:rsidP="00684F88">
      <w:pPr>
        <w:pStyle w:val="NormalWeb"/>
        <w:jc w:val="both"/>
        <w:rPr>
          <w:rFonts w:ascii="Arial" w:hAnsi="Arial" w:cs="Arial"/>
          <w:color w:val="000000"/>
          <w:shd w:val="clear" w:color="auto" w:fill="FFFFFF"/>
        </w:rPr>
      </w:pPr>
      <w:r w:rsidRPr="000910A3">
        <w:rPr>
          <w:rFonts w:ascii="Arial" w:hAnsi="Arial" w:cs="Arial"/>
          <w:color w:val="000000"/>
          <w:shd w:val="clear" w:color="auto" w:fill="FFFFFF"/>
        </w:rPr>
        <w:t>Para los departamentos objeto de consulta, actualmente se encuentran en implementación los siguientes contratos en el marco de la Estrategia de Comunidades Energéticas, los cuales tienen como finalidad ampliar el acceso a soluciones energéticas sostenibles y fortalecer la transición energética en los territorios beneficiarios.</w:t>
      </w:r>
    </w:p>
    <w:p w14:paraId="598A14FD" w14:textId="77777777" w:rsidR="001A0337" w:rsidRDefault="001A0337" w:rsidP="00FF5975">
      <w:pPr>
        <w:pStyle w:val="NormalWeb"/>
        <w:rPr>
          <w:rFonts w:ascii="Arial" w:hAnsi="Arial" w:cs="Arial"/>
          <w:noProof/>
        </w:rPr>
      </w:pPr>
    </w:p>
    <w:p w14:paraId="75142C0A" w14:textId="10CE6875" w:rsidR="0083245D" w:rsidRPr="000910A3" w:rsidRDefault="00684F88" w:rsidP="00FF5975">
      <w:pPr>
        <w:pStyle w:val="NormalWeb"/>
        <w:rPr>
          <w:rFonts w:ascii="Arial" w:hAnsi="Arial" w:cs="Arial"/>
        </w:rPr>
      </w:pPr>
      <w:r w:rsidRPr="000910A3">
        <w:rPr>
          <w:rFonts w:ascii="Arial" w:hAnsi="Arial" w:cs="Arial"/>
          <w:noProof/>
        </w:rPr>
        <w:drawing>
          <wp:inline distT="0" distB="0" distL="0" distR="0" wp14:anchorId="6D9D06C2" wp14:editId="6C5D151A">
            <wp:extent cx="6122035" cy="876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r="14313"/>
                    <a:stretch>
                      <a:fillRect/>
                    </a:stretch>
                  </pic:blipFill>
                  <pic:spPr bwMode="auto">
                    <a:xfrm>
                      <a:off x="0" y="0"/>
                      <a:ext cx="6249585" cy="894557"/>
                    </a:xfrm>
                    <a:prstGeom prst="rect">
                      <a:avLst/>
                    </a:prstGeom>
                    <a:noFill/>
                    <a:ln>
                      <a:noFill/>
                    </a:ln>
                    <a:extLst>
                      <a:ext uri="{53640926-AAD7-44D8-BBD7-CCE9431645EC}">
                        <a14:shadowObscured xmlns:a14="http://schemas.microsoft.com/office/drawing/2010/main"/>
                      </a:ext>
                    </a:extLst>
                  </pic:spPr>
                </pic:pic>
              </a:graphicData>
            </a:graphic>
          </wp:inline>
        </w:drawing>
      </w:r>
    </w:p>
    <w:p w14:paraId="5DC4F296" w14:textId="77777777" w:rsidR="00FA6769" w:rsidRPr="000910A3" w:rsidRDefault="00FA6769" w:rsidP="00FA6769">
      <w:pPr>
        <w:shd w:val="clear" w:color="auto" w:fill="FFFFFF"/>
        <w:spacing w:after="0" w:line="240" w:lineRule="auto"/>
        <w:jc w:val="both"/>
        <w:rPr>
          <w:rFonts w:ascii="Arial" w:hAnsi="Arial" w:cs="Arial"/>
          <w:color w:val="000000"/>
        </w:rPr>
      </w:pPr>
    </w:p>
    <w:p w14:paraId="4BCF7C3D" w14:textId="77777777" w:rsidR="00FA6769" w:rsidRPr="000910A3" w:rsidRDefault="00FA6769" w:rsidP="00FA6769">
      <w:pPr>
        <w:shd w:val="clear" w:color="auto" w:fill="FFFFFF"/>
        <w:spacing w:after="0" w:line="240" w:lineRule="auto"/>
        <w:jc w:val="both"/>
        <w:rPr>
          <w:rFonts w:ascii="Arial" w:hAnsi="Arial" w:cs="Arial"/>
        </w:rPr>
      </w:pPr>
    </w:p>
    <w:p w14:paraId="19B7AF80" w14:textId="4F9C709F" w:rsidR="00FF5975" w:rsidRPr="000910A3" w:rsidRDefault="00361AB6" w:rsidP="00FF5975">
      <w:pPr>
        <w:jc w:val="both"/>
        <w:rPr>
          <w:rFonts w:ascii="Arial" w:hAnsi="Arial" w:cs="Arial"/>
          <w:color w:val="000000"/>
          <w:shd w:val="clear" w:color="auto" w:fill="FFFFFF"/>
        </w:rPr>
      </w:pPr>
      <w:r w:rsidRPr="000910A3">
        <w:rPr>
          <w:rFonts w:ascii="Arial" w:hAnsi="Arial" w:cs="Arial"/>
        </w:rPr>
        <w:t>3..</w:t>
      </w:r>
      <w:r w:rsidRPr="000910A3">
        <w:rPr>
          <w:rFonts w:ascii="Arial" w:hAnsi="Arial" w:cs="Arial"/>
          <w:color w:val="000000"/>
          <w:shd w:val="clear" w:color="auto" w:fill="FFFFFF"/>
        </w:rPr>
        <w:t xml:space="preserve"> Articulación</w:t>
      </w:r>
      <w:r w:rsidR="00FF5975" w:rsidRPr="000910A3">
        <w:rPr>
          <w:rFonts w:ascii="Arial" w:hAnsi="Arial" w:cs="Arial"/>
          <w:color w:val="000000"/>
          <w:shd w:val="clear" w:color="auto" w:fill="FFFFFF"/>
        </w:rPr>
        <w:t xml:space="preserve"> de las soluciones solares con la reducción de costos del servicio de energía para los usuarios atendidos por Air-e, especialmente en el contexto de la crisis tarifaria de la región Caribe</w:t>
      </w:r>
    </w:p>
    <w:p w14:paraId="72106517" w14:textId="77777777" w:rsidR="001A0337" w:rsidRPr="001A0337" w:rsidRDefault="001A0337" w:rsidP="001A0337">
      <w:pPr>
        <w:jc w:val="both"/>
        <w:rPr>
          <w:rFonts w:ascii="Arial" w:hAnsi="Arial" w:cs="Arial"/>
        </w:rPr>
      </w:pPr>
      <w:r w:rsidRPr="001A0337">
        <w:rPr>
          <w:rFonts w:ascii="Arial" w:hAnsi="Arial" w:cs="Arial"/>
        </w:rPr>
        <w:t>Se adjunta la matriz suministrada por el Grupo de Supervisión de la Dirección de Energía Eléctrica, en la cual se relacionan los contratos que actualmente se ejecutan en la zona objeto de consulta.</w:t>
      </w:r>
    </w:p>
    <w:p w14:paraId="7A031E89" w14:textId="77777777" w:rsidR="001A0337" w:rsidRPr="001A0337" w:rsidRDefault="001A0337" w:rsidP="001A0337">
      <w:pPr>
        <w:jc w:val="both"/>
        <w:rPr>
          <w:rFonts w:ascii="Arial" w:hAnsi="Arial" w:cs="Arial"/>
        </w:rPr>
      </w:pPr>
      <w:r w:rsidRPr="001A0337">
        <w:rPr>
          <w:rFonts w:ascii="Arial" w:hAnsi="Arial" w:cs="Arial"/>
        </w:rPr>
        <w:lastRenderedPageBreak/>
        <w:t>Asimismo, se anexa la matriz correspondiente a la implementación de proyectos fotovoltaicos desarrollados en dichas zonas, en el marco de la Estrategia Nacional de Comunidades Energéticas, con corte a la fecha. Esta información permite identificar el avance de las intervenciones, los territorios beneficiados y el alcance de las acciones adelantadas en desarrollo de la estrategia.</w:t>
      </w:r>
    </w:p>
    <w:p w14:paraId="11B77B4A" w14:textId="77777777" w:rsidR="00684F88" w:rsidRPr="000910A3" w:rsidRDefault="00684F88" w:rsidP="00FF5975">
      <w:pPr>
        <w:jc w:val="both"/>
        <w:rPr>
          <w:rFonts w:ascii="Arial" w:hAnsi="Arial" w:cs="Arial"/>
          <w:b/>
          <w:bCs/>
        </w:rPr>
      </w:pPr>
    </w:p>
    <w:p w14:paraId="169719B0" w14:textId="2042FCF5" w:rsidR="00CC50DB" w:rsidRPr="000910A3" w:rsidRDefault="00684F88" w:rsidP="00CC50DB">
      <w:pPr>
        <w:jc w:val="both"/>
        <w:rPr>
          <w:rFonts w:ascii="Arial" w:hAnsi="Arial" w:cs="Arial"/>
          <w:b/>
          <w:bCs/>
        </w:rPr>
      </w:pPr>
      <w:r w:rsidRPr="000910A3">
        <w:rPr>
          <w:rFonts w:ascii="Arial" w:hAnsi="Arial" w:cs="Arial"/>
          <w:b/>
          <w:bCs/>
        </w:rPr>
        <w:t>4</w:t>
      </w:r>
      <w:r w:rsidR="00CC50DB" w:rsidRPr="000910A3">
        <w:rPr>
          <w:rFonts w:ascii="Arial" w:hAnsi="Arial" w:cs="Arial"/>
          <w:b/>
          <w:bCs/>
        </w:rPr>
        <w:t>.</w:t>
      </w:r>
      <w:r w:rsidR="00CC50DB" w:rsidRPr="000910A3">
        <w:rPr>
          <w:rFonts w:ascii="Arial" w:eastAsia="Times New Roman" w:hAnsi="Arial" w:cs="Arial"/>
          <w:color w:val="000000"/>
          <w:kern w:val="0"/>
          <w:lang w:eastAsia="es-CO"/>
          <w14:ligatures w14:val="none"/>
        </w:rPr>
        <w:t xml:space="preserve"> </w:t>
      </w:r>
      <w:r w:rsidR="00CC50DB" w:rsidRPr="000910A3">
        <w:rPr>
          <w:rFonts w:ascii="Arial" w:hAnsi="Arial" w:cs="Arial"/>
          <w:b/>
          <w:bCs/>
        </w:rPr>
        <w:t>Distribución de los recursos destinados al programa en Atlántico, Magdalena y La Guajira, discriminando montos asociados a inversión, instalación, operación, mantenimiento y seguimiento.</w:t>
      </w:r>
    </w:p>
    <w:p w14:paraId="5D94C987" w14:textId="41289982" w:rsidR="00CC50DB" w:rsidRPr="000910A3" w:rsidRDefault="004935AA" w:rsidP="00CC50DB">
      <w:pPr>
        <w:jc w:val="both"/>
        <w:rPr>
          <w:rFonts w:ascii="Arial" w:hAnsi="Arial" w:cs="Arial"/>
        </w:rPr>
      </w:pPr>
      <w:r w:rsidRPr="000910A3">
        <w:rPr>
          <w:rFonts w:ascii="Arial" w:hAnsi="Arial" w:cs="Arial"/>
        </w:rPr>
        <w:t>En atención al numeral 3 y de conformidad con el contenido de</w:t>
      </w:r>
      <w:r w:rsidR="00CC50DB" w:rsidRPr="000910A3">
        <w:rPr>
          <w:rFonts w:ascii="Arial" w:hAnsi="Arial" w:cs="Arial"/>
        </w:rPr>
        <w:t xml:space="preserve"> la ficha del proyecto de inversión “IMPLEMENTACIÓN DE SOLUCIONES DE GENERACIÓN FOTOVOLTAICA PARA LA REDUCCIÓN DEL COSTO DEL SERVICIO ELECTRICO EN LOS ESTRATOS 1, 2, 3 DEL SISTEMA INTERCONECTADO NACIONAL (SIN) – PROGRAMA NACIONAL COLOMBIA SOLAR.”  de fecha 10 de abril de 2026, </w:t>
      </w:r>
      <w:r w:rsidRPr="000910A3">
        <w:rPr>
          <w:rFonts w:ascii="Arial" w:hAnsi="Arial" w:cs="Arial"/>
        </w:rPr>
        <w:t>se establece la siguiente programación</w:t>
      </w:r>
      <w:r w:rsidR="00860328" w:rsidRPr="000910A3">
        <w:rPr>
          <w:rFonts w:ascii="Arial" w:hAnsi="Arial" w:cs="Arial"/>
        </w:rPr>
        <w:t xml:space="preserve">, respecto de </w:t>
      </w:r>
      <w:r w:rsidRPr="000910A3">
        <w:rPr>
          <w:rFonts w:ascii="Arial" w:hAnsi="Arial" w:cs="Arial"/>
        </w:rPr>
        <w:t>los departamentos indicados.</w:t>
      </w:r>
    </w:p>
    <w:p w14:paraId="27BDEC26" w14:textId="77777777" w:rsidR="00CC50DB" w:rsidRPr="000910A3" w:rsidRDefault="00CC50DB" w:rsidP="00CC50DB">
      <w:pPr>
        <w:jc w:val="both"/>
        <w:rPr>
          <w:rFonts w:ascii="Arial" w:hAnsi="Arial" w:cs="Arial"/>
        </w:rPr>
      </w:pPr>
      <w:r w:rsidRPr="000910A3">
        <w:rPr>
          <w:rFonts w:ascii="Arial" w:hAnsi="Arial" w:cs="Arial"/>
        </w:rPr>
        <w:t></w:t>
      </w:r>
    </w:p>
    <w:tbl>
      <w:tblPr>
        <w:tblStyle w:val="Tablanormal3"/>
        <w:tblW w:w="6880" w:type="dxa"/>
        <w:jc w:val="center"/>
        <w:tblLook w:val="04A0" w:firstRow="1" w:lastRow="0" w:firstColumn="1" w:lastColumn="0" w:noHBand="0" w:noVBand="1"/>
      </w:tblPr>
      <w:tblGrid>
        <w:gridCol w:w="2203"/>
        <w:gridCol w:w="1680"/>
        <w:gridCol w:w="2352"/>
        <w:gridCol w:w="1483"/>
      </w:tblGrid>
      <w:tr w:rsidR="00CC50DB" w:rsidRPr="000910A3" w14:paraId="540C6683" w14:textId="77777777" w:rsidTr="004935AA">
        <w:trPr>
          <w:cnfStyle w:val="100000000000" w:firstRow="1" w:lastRow="0" w:firstColumn="0" w:lastColumn="0" w:oddVBand="0" w:evenVBand="0" w:oddHBand="0" w:evenHBand="0" w:firstRowFirstColumn="0" w:firstRowLastColumn="0" w:lastRowFirstColumn="0" w:lastRowLastColumn="0"/>
          <w:trHeight w:val="210"/>
          <w:jc w:val="center"/>
        </w:trPr>
        <w:tc>
          <w:tcPr>
            <w:cnfStyle w:val="001000000100" w:firstRow="0" w:lastRow="0" w:firstColumn="1" w:lastColumn="0" w:oddVBand="0" w:evenVBand="0" w:oddHBand="0" w:evenHBand="0" w:firstRowFirstColumn="1" w:firstRowLastColumn="0" w:lastRowFirstColumn="0" w:lastRowLastColumn="0"/>
            <w:tcW w:w="1680" w:type="dxa"/>
            <w:noWrap/>
            <w:vAlign w:val="center"/>
            <w:hideMark/>
          </w:tcPr>
          <w:p w14:paraId="3C19258D" w14:textId="77777777" w:rsidR="00CC50DB" w:rsidRPr="000910A3" w:rsidRDefault="00CC50DB" w:rsidP="004935AA">
            <w:pPr>
              <w:jc w:val="center"/>
              <w:rPr>
                <w:rFonts w:ascii="Arial" w:hAnsi="Arial" w:cs="Arial"/>
              </w:rPr>
            </w:pPr>
            <w:r w:rsidRPr="000910A3">
              <w:rPr>
                <w:rFonts w:ascii="Arial" w:hAnsi="Arial" w:cs="Arial"/>
              </w:rPr>
              <w:t>Departamento</w:t>
            </w:r>
          </w:p>
        </w:tc>
        <w:tc>
          <w:tcPr>
            <w:tcW w:w="1680" w:type="dxa"/>
            <w:noWrap/>
            <w:vAlign w:val="center"/>
            <w:hideMark/>
          </w:tcPr>
          <w:p w14:paraId="2BC27175" w14:textId="77777777" w:rsidR="00CC50DB" w:rsidRPr="000910A3" w:rsidRDefault="00CC50DB" w:rsidP="004935A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AÑO</w:t>
            </w:r>
          </w:p>
        </w:tc>
        <w:tc>
          <w:tcPr>
            <w:tcW w:w="2320" w:type="dxa"/>
            <w:noWrap/>
            <w:vAlign w:val="center"/>
            <w:hideMark/>
          </w:tcPr>
          <w:p w14:paraId="5D876A2C" w14:textId="5A215A4E" w:rsidR="00CC50DB" w:rsidRPr="000910A3" w:rsidRDefault="00CC50DB" w:rsidP="004935A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Recursos</w:t>
            </w:r>
          </w:p>
        </w:tc>
        <w:tc>
          <w:tcPr>
            <w:tcW w:w="1200" w:type="dxa"/>
            <w:noWrap/>
            <w:vAlign w:val="center"/>
            <w:hideMark/>
          </w:tcPr>
          <w:p w14:paraId="2F00FD91" w14:textId="1905A022" w:rsidR="00CC50DB" w:rsidRPr="000910A3" w:rsidRDefault="00CC50DB" w:rsidP="004935A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Meta</w:t>
            </w:r>
            <w:r w:rsidR="004935AA" w:rsidRPr="000910A3">
              <w:rPr>
                <w:rFonts w:ascii="Arial" w:hAnsi="Arial" w:cs="Arial"/>
              </w:rPr>
              <w:t xml:space="preserve"> usuarios</w:t>
            </w:r>
          </w:p>
        </w:tc>
      </w:tr>
      <w:tr w:rsidR="00CC50DB" w:rsidRPr="000910A3" w14:paraId="36BBAFDD"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AC58A53" w14:textId="77777777" w:rsidR="00CC50DB" w:rsidRPr="000910A3" w:rsidRDefault="00CC50DB" w:rsidP="004935AA">
            <w:pPr>
              <w:jc w:val="center"/>
              <w:rPr>
                <w:rFonts w:ascii="Arial" w:hAnsi="Arial" w:cs="Arial"/>
              </w:rPr>
            </w:pPr>
            <w:r w:rsidRPr="000910A3">
              <w:rPr>
                <w:rFonts w:ascii="Arial" w:hAnsi="Arial" w:cs="Arial"/>
              </w:rPr>
              <w:t>Atlántico</w:t>
            </w:r>
          </w:p>
        </w:tc>
        <w:tc>
          <w:tcPr>
            <w:tcW w:w="1680" w:type="dxa"/>
            <w:noWrap/>
            <w:hideMark/>
          </w:tcPr>
          <w:p w14:paraId="07589116" w14:textId="77777777" w:rsidR="00CC50DB" w:rsidRPr="000910A3" w:rsidRDefault="00CC50DB" w:rsidP="004935A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2026</w:t>
            </w:r>
          </w:p>
        </w:tc>
        <w:tc>
          <w:tcPr>
            <w:tcW w:w="2320" w:type="dxa"/>
            <w:noWrap/>
            <w:hideMark/>
          </w:tcPr>
          <w:p w14:paraId="6BC2A114"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180.679.853.276</w:t>
            </w:r>
          </w:p>
        </w:tc>
        <w:tc>
          <w:tcPr>
            <w:tcW w:w="1200" w:type="dxa"/>
            <w:noWrap/>
            <w:hideMark/>
          </w:tcPr>
          <w:p w14:paraId="24AA5CED"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10118</w:t>
            </w:r>
          </w:p>
        </w:tc>
      </w:tr>
      <w:tr w:rsidR="00CC50DB" w:rsidRPr="000910A3" w14:paraId="379F34C0"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59567ADD" w14:textId="23CA5D1D" w:rsidR="00CC50DB" w:rsidRPr="000910A3" w:rsidRDefault="00CC50DB" w:rsidP="004935AA">
            <w:pPr>
              <w:jc w:val="center"/>
              <w:rPr>
                <w:rFonts w:ascii="Arial" w:hAnsi="Arial" w:cs="Arial"/>
              </w:rPr>
            </w:pPr>
            <w:r w:rsidRPr="000910A3">
              <w:rPr>
                <w:rFonts w:ascii="Arial" w:hAnsi="Arial" w:cs="Arial"/>
              </w:rPr>
              <w:t>Atlántico</w:t>
            </w:r>
          </w:p>
        </w:tc>
        <w:tc>
          <w:tcPr>
            <w:tcW w:w="1680" w:type="dxa"/>
            <w:noWrap/>
            <w:hideMark/>
          </w:tcPr>
          <w:p w14:paraId="65B4585C" w14:textId="77777777" w:rsidR="00CC50DB" w:rsidRPr="000910A3" w:rsidRDefault="00CC50DB" w:rsidP="004935A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2027</w:t>
            </w:r>
          </w:p>
        </w:tc>
        <w:tc>
          <w:tcPr>
            <w:tcW w:w="2320" w:type="dxa"/>
            <w:noWrap/>
            <w:hideMark/>
          </w:tcPr>
          <w:p w14:paraId="52AEA6B9"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20.728.389.059,44</w:t>
            </w:r>
          </w:p>
        </w:tc>
        <w:tc>
          <w:tcPr>
            <w:tcW w:w="1200" w:type="dxa"/>
            <w:noWrap/>
            <w:hideMark/>
          </w:tcPr>
          <w:p w14:paraId="113EF73A"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2773</w:t>
            </w:r>
          </w:p>
        </w:tc>
      </w:tr>
      <w:tr w:rsidR="00CC50DB" w:rsidRPr="000910A3" w14:paraId="3D0AF049"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1B78AEE" w14:textId="77777777" w:rsidR="00CC50DB" w:rsidRPr="000910A3" w:rsidRDefault="00CC50DB" w:rsidP="004935AA">
            <w:pPr>
              <w:jc w:val="center"/>
              <w:rPr>
                <w:rFonts w:ascii="Arial" w:hAnsi="Arial" w:cs="Arial"/>
              </w:rPr>
            </w:pPr>
            <w:r w:rsidRPr="000910A3">
              <w:rPr>
                <w:rFonts w:ascii="Arial" w:hAnsi="Arial" w:cs="Arial"/>
              </w:rPr>
              <w:t>La Guajira</w:t>
            </w:r>
          </w:p>
        </w:tc>
        <w:tc>
          <w:tcPr>
            <w:tcW w:w="1680" w:type="dxa"/>
            <w:noWrap/>
            <w:hideMark/>
          </w:tcPr>
          <w:p w14:paraId="2959BCDB" w14:textId="77777777" w:rsidR="00CC50DB" w:rsidRPr="000910A3" w:rsidRDefault="00CC50DB" w:rsidP="004935A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2027</w:t>
            </w:r>
          </w:p>
        </w:tc>
        <w:tc>
          <w:tcPr>
            <w:tcW w:w="2320" w:type="dxa"/>
            <w:noWrap/>
            <w:hideMark/>
          </w:tcPr>
          <w:p w14:paraId="72AEE2B7"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286.804.710.913,31</w:t>
            </w:r>
          </w:p>
        </w:tc>
        <w:tc>
          <w:tcPr>
            <w:tcW w:w="1200" w:type="dxa"/>
            <w:noWrap/>
            <w:hideMark/>
          </w:tcPr>
          <w:p w14:paraId="3A3C796C"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43807</w:t>
            </w:r>
          </w:p>
        </w:tc>
      </w:tr>
      <w:tr w:rsidR="00CC50DB" w:rsidRPr="000910A3" w14:paraId="6D8909CF"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67B1085E" w14:textId="77777777" w:rsidR="00CC50DB" w:rsidRPr="000910A3" w:rsidRDefault="00CC50DB" w:rsidP="004935AA">
            <w:pPr>
              <w:jc w:val="center"/>
              <w:rPr>
                <w:rFonts w:ascii="Arial" w:hAnsi="Arial" w:cs="Arial"/>
              </w:rPr>
            </w:pPr>
            <w:r w:rsidRPr="000910A3">
              <w:rPr>
                <w:rFonts w:ascii="Arial" w:hAnsi="Arial" w:cs="Arial"/>
              </w:rPr>
              <w:t>Magdalena</w:t>
            </w:r>
          </w:p>
        </w:tc>
        <w:tc>
          <w:tcPr>
            <w:tcW w:w="1680" w:type="dxa"/>
            <w:noWrap/>
            <w:hideMark/>
          </w:tcPr>
          <w:p w14:paraId="0D9AF4EA" w14:textId="77777777" w:rsidR="00CC50DB" w:rsidRPr="000910A3" w:rsidRDefault="00CC50DB" w:rsidP="004935A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2027</w:t>
            </w:r>
          </w:p>
        </w:tc>
        <w:tc>
          <w:tcPr>
            <w:tcW w:w="2320" w:type="dxa"/>
            <w:noWrap/>
            <w:hideMark/>
          </w:tcPr>
          <w:p w14:paraId="0CB264AA"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274.854.514.625,67</w:t>
            </w:r>
          </w:p>
        </w:tc>
        <w:tc>
          <w:tcPr>
            <w:tcW w:w="1200" w:type="dxa"/>
            <w:noWrap/>
            <w:hideMark/>
          </w:tcPr>
          <w:p w14:paraId="32CC9551"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41166</w:t>
            </w:r>
          </w:p>
        </w:tc>
      </w:tr>
      <w:tr w:rsidR="00CC50DB" w:rsidRPr="000910A3" w14:paraId="1BFDE0B4" w14:textId="77777777" w:rsidTr="004935AA">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3D4A2BAE" w14:textId="77777777" w:rsidR="00CC50DB" w:rsidRPr="000910A3" w:rsidRDefault="00CC50DB" w:rsidP="004935AA">
            <w:pPr>
              <w:jc w:val="center"/>
              <w:rPr>
                <w:rFonts w:ascii="Arial" w:hAnsi="Arial" w:cs="Arial"/>
              </w:rPr>
            </w:pPr>
            <w:r w:rsidRPr="000910A3">
              <w:rPr>
                <w:rFonts w:ascii="Arial" w:hAnsi="Arial" w:cs="Arial"/>
              </w:rPr>
              <w:t>La Guajira</w:t>
            </w:r>
          </w:p>
        </w:tc>
        <w:tc>
          <w:tcPr>
            <w:tcW w:w="1680" w:type="dxa"/>
            <w:noWrap/>
            <w:hideMark/>
          </w:tcPr>
          <w:p w14:paraId="617A9830" w14:textId="77777777" w:rsidR="00CC50DB" w:rsidRPr="000910A3" w:rsidRDefault="00CC50DB" w:rsidP="004935A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2028</w:t>
            </w:r>
          </w:p>
        </w:tc>
        <w:tc>
          <w:tcPr>
            <w:tcW w:w="2320" w:type="dxa"/>
            <w:noWrap/>
            <w:hideMark/>
          </w:tcPr>
          <w:p w14:paraId="372D4B72"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191.972.879.500,55</w:t>
            </w:r>
          </w:p>
        </w:tc>
        <w:tc>
          <w:tcPr>
            <w:tcW w:w="1200" w:type="dxa"/>
            <w:noWrap/>
            <w:hideMark/>
          </w:tcPr>
          <w:p w14:paraId="5FB41E5E" w14:textId="77777777" w:rsidR="00CC50DB" w:rsidRPr="000910A3" w:rsidRDefault="00CC50DB" w:rsidP="004935AA">
            <w:pPr>
              <w:jc w:val="right"/>
              <w:cnfStyle w:val="000000100000" w:firstRow="0" w:lastRow="0" w:firstColumn="0" w:lastColumn="0" w:oddVBand="0" w:evenVBand="0" w:oddHBand="1" w:evenHBand="0" w:firstRowFirstColumn="0" w:firstRowLastColumn="0" w:lastRowFirstColumn="0" w:lastRowLastColumn="0"/>
              <w:rPr>
                <w:rFonts w:ascii="Arial" w:hAnsi="Arial" w:cs="Arial"/>
              </w:rPr>
            </w:pPr>
            <w:r w:rsidRPr="000910A3">
              <w:rPr>
                <w:rFonts w:ascii="Arial" w:hAnsi="Arial" w:cs="Arial"/>
              </w:rPr>
              <w:t>27273</w:t>
            </w:r>
          </w:p>
        </w:tc>
      </w:tr>
      <w:tr w:rsidR="00CC50DB" w:rsidRPr="000910A3" w14:paraId="50963BD9" w14:textId="77777777" w:rsidTr="004935AA">
        <w:trPr>
          <w:trHeight w:val="210"/>
          <w:jc w:val="center"/>
        </w:trPr>
        <w:tc>
          <w:tcPr>
            <w:cnfStyle w:val="001000000000" w:firstRow="0" w:lastRow="0" w:firstColumn="1" w:lastColumn="0" w:oddVBand="0" w:evenVBand="0" w:oddHBand="0" w:evenHBand="0" w:firstRowFirstColumn="0" w:firstRowLastColumn="0" w:lastRowFirstColumn="0" w:lastRowLastColumn="0"/>
            <w:tcW w:w="1680" w:type="dxa"/>
            <w:noWrap/>
            <w:hideMark/>
          </w:tcPr>
          <w:p w14:paraId="75A22A16" w14:textId="77777777" w:rsidR="00CC50DB" w:rsidRPr="000910A3" w:rsidRDefault="00CC50DB" w:rsidP="004935AA">
            <w:pPr>
              <w:jc w:val="center"/>
              <w:rPr>
                <w:rFonts w:ascii="Arial" w:hAnsi="Arial" w:cs="Arial"/>
              </w:rPr>
            </w:pPr>
            <w:r w:rsidRPr="000910A3">
              <w:rPr>
                <w:rFonts w:ascii="Arial" w:hAnsi="Arial" w:cs="Arial"/>
              </w:rPr>
              <w:t>Magdalena</w:t>
            </w:r>
          </w:p>
        </w:tc>
        <w:tc>
          <w:tcPr>
            <w:tcW w:w="1680" w:type="dxa"/>
            <w:noWrap/>
            <w:hideMark/>
          </w:tcPr>
          <w:p w14:paraId="69357FE2" w14:textId="77777777" w:rsidR="00CC50DB" w:rsidRPr="000910A3" w:rsidRDefault="00CC50DB" w:rsidP="004935A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2028</w:t>
            </w:r>
          </w:p>
        </w:tc>
        <w:tc>
          <w:tcPr>
            <w:tcW w:w="2320" w:type="dxa"/>
            <w:noWrap/>
            <w:hideMark/>
          </w:tcPr>
          <w:p w14:paraId="4477DE8A"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183.974.009.521,32</w:t>
            </w:r>
          </w:p>
        </w:tc>
        <w:tc>
          <w:tcPr>
            <w:tcW w:w="1200" w:type="dxa"/>
            <w:noWrap/>
            <w:hideMark/>
          </w:tcPr>
          <w:p w14:paraId="45A11B04" w14:textId="77777777" w:rsidR="00CC50DB" w:rsidRPr="000910A3" w:rsidRDefault="00CC50DB" w:rsidP="004935AA">
            <w:pPr>
              <w:jc w:val="right"/>
              <w:cnfStyle w:val="000000000000" w:firstRow="0" w:lastRow="0" w:firstColumn="0" w:lastColumn="0" w:oddVBand="0" w:evenVBand="0" w:oddHBand="0" w:evenHBand="0" w:firstRowFirstColumn="0" w:firstRowLastColumn="0" w:lastRowFirstColumn="0" w:lastRowLastColumn="0"/>
              <w:rPr>
                <w:rFonts w:ascii="Arial" w:hAnsi="Arial" w:cs="Arial"/>
              </w:rPr>
            </w:pPr>
            <w:r w:rsidRPr="000910A3">
              <w:rPr>
                <w:rFonts w:ascii="Arial" w:hAnsi="Arial" w:cs="Arial"/>
              </w:rPr>
              <w:t>26387</w:t>
            </w:r>
          </w:p>
        </w:tc>
      </w:tr>
    </w:tbl>
    <w:p w14:paraId="43863C36" w14:textId="77777777" w:rsidR="004935AA" w:rsidRPr="000910A3" w:rsidRDefault="004935AA" w:rsidP="00CC50DB">
      <w:pPr>
        <w:jc w:val="both"/>
        <w:rPr>
          <w:rFonts w:ascii="Arial" w:hAnsi="Arial" w:cs="Arial"/>
        </w:rPr>
      </w:pPr>
    </w:p>
    <w:p w14:paraId="6C0D6629" w14:textId="07DCFA98" w:rsidR="00CC50DB" w:rsidRPr="000910A3" w:rsidRDefault="00CC50DB" w:rsidP="00CC50DB">
      <w:pPr>
        <w:jc w:val="both"/>
        <w:rPr>
          <w:rFonts w:ascii="Arial" w:hAnsi="Arial" w:cs="Arial"/>
        </w:rPr>
      </w:pPr>
      <w:r w:rsidRPr="000910A3">
        <w:rPr>
          <w:rFonts w:ascii="Arial" w:hAnsi="Arial" w:cs="Arial"/>
        </w:rPr>
        <w:t>Fuente: Documento actualización proyecto 10 de abril de 2026.</w:t>
      </w:r>
    </w:p>
    <w:p w14:paraId="6422FFF7" w14:textId="0E384641" w:rsidR="00CC50DB" w:rsidRPr="000910A3" w:rsidRDefault="2F2D476F" w:rsidP="00CC50DB">
      <w:pPr>
        <w:jc w:val="both"/>
        <w:rPr>
          <w:rFonts w:ascii="Arial" w:hAnsi="Arial" w:cs="Arial"/>
        </w:rPr>
      </w:pPr>
      <w:r w:rsidRPr="000910A3">
        <w:rPr>
          <w:rFonts w:ascii="Arial" w:hAnsi="Arial" w:cs="Arial"/>
        </w:rPr>
        <w:t xml:space="preserve">Los costos referenciados </w:t>
      </w:r>
      <w:r w:rsidR="31842146" w:rsidRPr="000910A3">
        <w:rPr>
          <w:rFonts w:ascii="Arial" w:hAnsi="Arial" w:cs="Arial"/>
        </w:rPr>
        <w:t xml:space="preserve">en la </w:t>
      </w:r>
      <w:r w:rsidR="5A47D626" w:rsidRPr="000910A3">
        <w:rPr>
          <w:rFonts w:ascii="Arial" w:hAnsi="Arial" w:cs="Arial"/>
        </w:rPr>
        <w:t>tabla</w:t>
      </w:r>
      <w:r w:rsidR="31842146" w:rsidRPr="000910A3">
        <w:rPr>
          <w:rFonts w:ascii="Arial" w:hAnsi="Arial" w:cs="Arial"/>
        </w:rPr>
        <w:t xml:space="preserve"> consolidan la implementación de las soluciones junto con su AIU e interventoría correspondiente. </w:t>
      </w:r>
    </w:p>
    <w:p w14:paraId="1E14E8E5" w14:textId="291CA869" w:rsidR="31842146" w:rsidRPr="000910A3" w:rsidRDefault="31842146" w:rsidP="254E8084">
      <w:pPr>
        <w:jc w:val="both"/>
        <w:rPr>
          <w:rFonts w:ascii="Arial" w:hAnsi="Arial" w:cs="Arial"/>
        </w:rPr>
      </w:pPr>
      <w:r w:rsidRPr="000910A3">
        <w:rPr>
          <w:rFonts w:ascii="Arial" w:hAnsi="Arial" w:cs="Arial"/>
        </w:rPr>
        <w:t>A través del año 1, los costos asociados a las actividades de administración, operación y mantenimiento se encuentran a cargo de los contratistas ejecutores, siendo este costo</w:t>
      </w:r>
      <w:r w:rsidR="7C8E19FD" w:rsidRPr="000910A3">
        <w:rPr>
          <w:rFonts w:ascii="Arial" w:hAnsi="Arial" w:cs="Arial"/>
        </w:rPr>
        <w:t xml:space="preserve"> representado en</w:t>
      </w:r>
      <w:r w:rsidRPr="000910A3">
        <w:rPr>
          <w:rFonts w:ascii="Arial" w:hAnsi="Arial" w:cs="Arial"/>
        </w:rPr>
        <w:t xml:space="preserve"> un </w:t>
      </w:r>
      <w:r w:rsidR="29AFDF16" w:rsidRPr="000910A3">
        <w:rPr>
          <w:rFonts w:ascii="Arial" w:hAnsi="Arial" w:cs="Arial"/>
        </w:rPr>
        <w:t>2% sobre el valor de los sistemas instalados, es decir, sobre el CAPEX</w:t>
      </w:r>
      <w:r w:rsidR="5DB9688D" w:rsidRPr="000910A3">
        <w:rPr>
          <w:rFonts w:ascii="Arial" w:hAnsi="Arial" w:cs="Arial"/>
        </w:rPr>
        <w:t xml:space="preserve"> del proyecto. </w:t>
      </w:r>
    </w:p>
    <w:p w14:paraId="05E1FFD4" w14:textId="4B2F5DB7" w:rsidR="5DB9688D" w:rsidRPr="000910A3" w:rsidRDefault="5DB9688D" w:rsidP="254E8084">
      <w:pPr>
        <w:jc w:val="both"/>
        <w:rPr>
          <w:rFonts w:ascii="Arial" w:hAnsi="Arial" w:cs="Arial"/>
        </w:rPr>
      </w:pPr>
      <w:r w:rsidRPr="000910A3">
        <w:rPr>
          <w:rFonts w:ascii="Arial" w:hAnsi="Arial" w:cs="Arial"/>
        </w:rPr>
        <w:t xml:space="preserve">A partir del año 2, los costos de administración, operación y mantenimientos se remunerarán a través de la compensación de energía entregada a un agente comercializador, representante de los beneficiarios </w:t>
      </w:r>
      <w:r w:rsidR="3894039F" w:rsidRPr="000910A3">
        <w:rPr>
          <w:rFonts w:ascii="Arial" w:hAnsi="Arial" w:cs="Arial"/>
        </w:rPr>
        <w:t xml:space="preserve">y responsables de estas actividades. </w:t>
      </w:r>
    </w:p>
    <w:p w14:paraId="30661C39" w14:textId="7389516A" w:rsidR="254E8084" w:rsidRPr="000910A3" w:rsidRDefault="000910A3" w:rsidP="254E8084">
      <w:pPr>
        <w:jc w:val="both"/>
        <w:rPr>
          <w:rFonts w:ascii="Arial" w:hAnsi="Arial" w:cs="Arial"/>
        </w:rPr>
      </w:pPr>
      <w:r>
        <w:rPr>
          <w:rFonts w:ascii="Arial" w:hAnsi="Arial" w:cs="Arial"/>
        </w:rPr>
        <w:lastRenderedPageBreak/>
        <w:t xml:space="preserve">En lo correspondiente a comunidades se informa en la imagen del final de respuesta </w:t>
      </w:r>
      <w:r w:rsidR="00A30151">
        <w:rPr>
          <w:rFonts w:ascii="Arial" w:hAnsi="Arial" w:cs="Arial"/>
        </w:rPr>
        <w:t>anterior,</w:t>
      </w:r>
      <w:r w:rsidR="001A0337">
        <w:rPr>
          <w:rFonts w:ascii="Arial" w:hAnsi="Arial" w:cs="Arial"/>
        </w:rPr>
        <w:t xml:space="preserve"> se entrega la información correspondiente </w:t>
      </w:r>
    </w:p>
    <w:p w14:paraId="3916F02E" w14:textId="1EF6D869" w:rsidR="00CC50DB" w:rsidRPr="000910A3" w:rsidRDefault="00684F88" w:rsidP="00CC50DB">
      <w:pPr>
        <w:jc w:val="both"/>
        <w:rPr>
          <w:rFonts w:ascii="Arial" w:hAnsi="Arial" w:cs="Arial"/>
        </w:rPr>
      </w:pPr>
      <w:r w:rsidRPr="000910A3">
        <w:rPr>
          <w:rFonts w:ascii="Arial" w:hAnsi="Arial" w:cs="Arial"/>
          <w:b/>
          <w:bCs/>
          <w:i/>
          <w:iCs/>
        </w:rPr>
        <w:t>5</w:t>
      </w:r>
      <w:r w:rsidR="00CC50DB" w:rsidRPr="000910A3">
        <w:rPr>
          <w:rFonts w:ascii="Arial" w:hAnsi="Arial" w:cs="Arial"/>
          <w:b/>
          <w:bCs/>
          <w:i/>
          <w:iCs/>
        </w:rPr>
        <w:t>. Estudios, análisis o documentos técnicos, financieros, sociales y territoriales que soporten la priorización de beneficiarios, el diseño del programa, la estimación de costos y los impactos esperados en materia de reducción tarifaria o sustitución parcial del consumo de energía de la red.</w:t>
      </w:r>
    </w:p>
    <w:p w14:paraId="3374D4B9" w14:textId="77777777" w:rsidR="00CC50DB" w:rsidRPr="000910A3" w:rsidRDefault="00CC50DB" w:rsidP="00CC50DB">
      <w:pPr>
        <w:jc w:val="both"/>
        <w:rPr>
          <w:rFonts w:ascii="Arial" w:hAnsi="Arial" w:cs="Arial"/>
        </w:rPr>
      </w:pPr>
      <w:r w:rsidRPr="000910A3">
        <w:rPr>
          <w:rFonts w:ascii="Arial" w:hAnsi="Arial" w:cs="Arial"/>
        </w:rPr>
        <w:t>En cumplimiento de la Resolución MME No. 40159 de 2026, el Programa Colombia Solar estructuró una metodología de focalización basada en variables técnicas, sociales, económicas y territoriales orientadas a identificar potenciales beneficiarios de soluciones solares fotovoltaicas residenciales en el territorio nacional.</w:t>
      </w:r>
    </w:p>
    <w:p w14:paraId="4D6FEBFC" w14:textId="77777777" w:rsidR="00CC50DB" w:rsidRPr="000910A3" w:rsidRDefault="00CC50DB" w:rsidP="00CC50DB">
      <w:pPr>
        <w:jc w:val="both"/>
        <w:rPr>
          <w:rFonts w:ascii="Arial" w:hAnsi="Arial" w:cs="Arial"/>
        </w:rPr>
      </w:pPr>
      <w:r w:rsidRPr="000910A3">
        <w:rPr>
          <w:rFonts w:ascii="Arial" w:hAnsi="Arial" w:cs="Arial"/>
        </w:rPr>
        <w:t>Como parte de la fase de introducción del programa, se desarrolló un ejercicio piloto de selección muestral con el propósito de validar los procedimientos técnicos, operativos y sociales asociados a la implementación de soluciones solares fotovoltaicas residenciales. Como resultado de dicho ejercicio fueron focalizados quinientos (500) usuarios residenciales ubicados en el barrio Villas de San Pablo, en el Distrito de Barranquilla, departamento del Atlántico, quienes conforman la población objetivo de la fase piloto del Programa Colombia Solar.</w:t>
      </w:r>
    </w:p>
    <w:p w14:paraId="43F71EF2" w14:textId="77777777" w:rsidR="00CC50DB" w:rsidRPr="000910A3" w:rsidRDefault="00CC50DB" w:rsidP="00CC50DB">
      <w:pPr>
        <w:jc w:val="both"/>
        <w:rPr>
          <w:rFonts w:ascii="Arial" w:hAnsi="Arial" w:cs="Arial"/>
        </w:rPr>
      </w:pPr>
      <w:r w:rsidRPr="000910A3">
        <w:rPr>
          <w:rFonts w:ascii="Arial" w:hAnsi="Arial" w:cs="Arial"/>
        </w:rPr>
        <w:t>La selección de estos usuarios se realizó con base en los criterios y variables de focalización establecidos en la Resolución MME No. 40159 de 2026, considerando aspectos relacionados con condiciones socioeconómicas, características del servicio de energía eléctrica, viabilidad técnica de instalación y demás criterios definidos para la implementación del programa.</w:t>
      </w:r>
    </w:p>
    <w:p w14:paraId="5C6E0F3F" w14:textId="77777777" w:rsidR="00CC50DB" w:rsidRPr="000910A3" w:rsidRDefault="00CC50DB" w:rsidP="00CC50DB">
      <w:pPr>
        <w:jc w:val="both"/>
        <w:rPr>
          <w:rFonts w:ascii="Arial" w:hAnsi="Arial" w:cs="Arial"/>
        </w:rPr>
      </w:pPr>
      <w:r w:rsidRPr="000910A3">
        <w:rPr>
          <w:rFonts w:ascii="Arial" w:hAnsi="Arial" w:cs="Arial"/>
        </w:rPr>
        <w:t>De los 500 usuarios inicialmente focalizados, a la fecha cien (100) cuentan con sistemas solares fotovoltaicos instalados y en operación, lo que representa un avance del 20% respecto de la meta establecida para el piloto y un avance del 0,46% frente a la meta nacional prevista para la vigencia 2026, correspondiente a 21.884 hogares beneficiarios.</w:t>
      </w:r>
    </w:p>
    <w:p w14:paraId="28DE21C4" w14:textId="725FB34A" w:rsidR="00CC50DB" w:rsidRPr="000910A3" w:rsidRDefault="00CC50DB" w:rsidP="00CC50DB">
      <w:pPr>
        <w:jc w:val="both"/>
        <w:rPr>
          <w:rFonts w:ascii="Arial" w:hAnsi="Arial" w:cs="Arial"/>
        </w:rPr>
      </w:pPr>
      <w:r w:rsidRPr="000910A3">
        <w:rPr>
          <w:rFonts w:ascii="Arial" w:hAnsi="Arial" w:cs="Arial"/>
        </w:rPr>
        <w:t>Los 500 usuarios identificados en Villas de San Pablo representan el 2,28% de la meta nacional para 2026 y constituyen la primera experiencia de implementación del programa, cuyos resultados permitirán fortalecer los procesos de expansión y despliegue en otros territorios priorizados del país.</w:t>
      </w:r>
    </w:p>
    <w:p w14:paraId="6CE5EC1D" w14:textId="77777777" w:rsidR="00CC50DB" w:rsidRPr="000910A3" w:rsidRDefault="219AA27D" w:rsidP="00CC50DB">
      <w:pPr>
        <w:jc w:val="both"/>
        <w:rPr>
          <w:rFonts w:ascii="Arial" w:hAnsi="Arial" w:cs="Arial"/>
        </w:rPr>
      </w:pPr>
      <w:r w:rsidRPr="000910A3">
        <w:rPr>
          <w:rFonts w:ascii="Arial" w:hAnsi="Arial" w:cs="Arial"/>
        </w:rPr>
        <w:t>En relación con los departamentos de Magdalena y La Guajira, actualmente se encuentran focalizados diez (10) municipios con potenciales usuarios beneficiarios del programa. No obstante, dichos territorios continúan en proceso de análisis, validación de información, caracterización de usuarios y desarrollo de visitas técnicas y de campo, por lo que aún no existe una definición definitiva de beneficiarios ni una base consolidada para dichos departamentos.</w:t>
      </w:r>
    </w:p>
    <w:p w14:paraId="13F37B3C" w14:textId="411914F6" w:rsidR="00CC50DB" w:rsidRPr="000910A3" w:rsidRDefault="47403A2D" w:rsidP="254E8084">
      <w:pPr>
        <w:jc w:val="both"/>
        <w:rPr>
          <w:rFonts w:ascii="Arial" w:hAnsi="Arial" w:cs="Arial"/>
        </w:rPr>
      </w:pPr>
      <w:r w:rsidRPr="000910A3">
        <w:rPr>
          <w:rFonts w:ascii="Arial" w:eastAsia="Aptos" w:hAnsi="Arial" w:cs="Arial"/>
        </w:rPr>
        <w:lastRenderedPageBreak/>
        <w:t xml:space="preserve">Colombia Solar, como programa de Gobierno Nacional, se convierte en una alternativa sostenible a los subsidios eléctricos para los estratos 1, 2 y 3, con el propósito de generar ahorros en los hogares más vulnerables y aumentar su capacidad de gasto en otros bienes y servicios; mejorando la sostenibilidad fiscal del sistema de subsidios eléctricos (FSSRI - SIN) y en consecuencia reduciendo su presión sobre el Presupuesto General de la Nación – PGN. </w:t>
      </w:r>
      <w:r w:rsidR="0083245D" w:rsidRPr="000910A3">
        <w:rPr>
          <w:rFonts w:ascii="Arial" w:eastAsia="Aptos" w:hAnsi="Arial" w:cs="Arial"/>
        </w:rPr>
        <w:t>máxima del consumo básico de subsistencia sean reducidos del FSSRI</w:t>
      </w:r>
    </w:p>
    <w:p w14:paraId="49B8BF35" w14:textId="6292A218" w:rsidR="0083245D" w:rsidRPr="000910A3" w:rsidRDefault="00684F88" w:rsidP="0083245D">
      <w:pPr>
        <w:spacing w:before="256" w:after="0" w:line="216" w:lineRule="auto"/>
        <w:ind w:right="239"/>
        <w:contextualSpacing/>
        <w:jc w:val="both"/>
        <w:rPr>
          <w:rFonts w:ascii="Arial" w:eastAsia="Work Sans" w:hAnsi="Arial" w:cs="Arial"/>
          <w:lang w:val="es"/>
        </w:rPr>
      </w:pPr>
      <w:r w:rsidRPr="000910A3">
        <w:rPr>
          <w:rFonts w:ascii="Arial" w:eastAsia="Aptos" w:hAnsi="Arial" w:cs="Arial"/>
        </w:rPr>
        <w:t xml:space="preserve">En la estrategia nacional de comunidades energéticas </w:t>
      </w:r>
      <w:r w:rsidR="47403A2D" w:rsidRPr="000910A3">
        <w:rPr>
          <w:rFonts w:ascii="Arial" w:eastAsia="Aptos" w:hAnsi="Arial" w:cs="Arial"/>
        </w:rPr>
        <w:t xml:space="preserve">la metodología operativa del programa permite entregar a los usuarios beneficiarios un equivalente al subsidio bajo el esquema actual soportado </w:t>
      </w:r>
      <w:r w:rsidR="4AD554DA" w:rsidRPr="000910A3">
        <w:rPr>
          <w:rFonts w:ascii="Arial" w:eastAsia="Aptos" w:hAnsi="Arial" w:cs="Arial"/>
        </w:rPr>
        <w:t>a través de</w:t>
      </w:r>
      <w:r w:rsidR="47403A2D" w:rsidRPr="000910A3">
        <w:rPr>
          <w:rFonts w:ascii="Arial" w:eastAsia="Aptos" w:hAnsi="Arial" w:cs="Arial"/>
        </w:rPr>
        <w:t xml:space="preserve"> la ley 142 de 1994 y la resolución CRE</w:t>
      </w:r>
      <w:r w:rsidR="2075EF97" w:rsidRPr="000910A3">
        <w:rPr>
          <w:rFonts w:ascii="Arial" w:eastAsia="Aptos" w:hAnsi="Arial" w:cs="Arial"/>
        </w:rPr>
        <w:t xml:space="preserve">G 003 de 2021 </w:t>
      </w:r>
      <w:r w:rsidR="6D9C9C92" w:rsidRPr="000910A3">
        <w:rPr>
          <w:rFonts w:ascii="Arial" w:eastAsia="Aptos" w:hAnsi="Arial" w:cs="Arial"/>
        </w:rPr>
        <w:t>por medio</w:t>
      </w:r>
      <w:r w:rsidR="2075EF97" w:rsidRPr="000910A3">
        <w:rPr>
          <w:rFonts w:ascii="Arial" w:eastAsia="Aptos" w:hAnsi="Arial" w:cs="Arial"/>
        </w:rPr>
        <w:t xml:space="preserve"> de energía generada </w:t>
      </w:r>
      <w:r w:rsidR="7AD8FD74" w:rsidRPr="000910A3">
        <w:rPr>
          <w:rFonts w:ascii="Arial" w:eastAsia="Aptos" w:hAnsi="Arial" w:cs="Arial"/>
        </w:rPr>
        <w:t xml:space="preserve">para su autoconsumo. Esto permite que, los subsidios entregados por el estado en un porcentaje máximo del 60% para estrato 1, 50% para estrato 2 y 15% para estrato 3 sobre el costo de la energía con una base </w:t>
      </w:r>
      <w:r w:rsidR="0083245D" w:rsidRPr="000910A3">
        <w:rPr>
          <w:rFonts w:ascii="Arial" w:eastAsia="Work Sans" w:hAnsi="Arial" w:cs="Arial"/>
          <w:lang w:val="es"/>
        </w:rPr>
        <w:t>En relación con las Comunidades Energéticas (CE) apoyadas por el IPSE mediante la implementación de Soluciones Solares Individuales Fotovoltaicas (SSIFV) y soluciones híbridas en las Zonas No Interconectadas (ZNI), se evidencian impactos sociales asociados al acceso al servicio de energía las 24 horas, en comunidades que históricamente carecían de este servicio.</w:t>
      </w:r>
    </w:p>
    <w:p w14:paraId="69C8B1AA" w14:textId="77777777" w:rsidR="0083245D" w:rsidRPr="000910A3" w:rsidRDefault="0083245D" w:rsidP="0083245D">
      <w:pPr>
        <w:spacing w:before="256" w:after="0" w:line="216" w:lineRule="auto"/>
        <w:ind w:right="239"/>
        <w:contextualSpacing/>
        <w:jc w:val="both"/>
        <w:rPr>
          <w:rFonts w:ascii="Arial" w:eastAsia="Work Sans" w:hAnsi="Arial" w:cs="Arial"/>
          <w:lang w:val="es"/>
        </w:rPr>
      </w:pPr>
    </w:p>
    <w:p w14:paraId="4F8C283F" w14:textId="77777777" w:rsidR="0083245D" w:rsidRPr="000910A3" w:rsidRDefault="0083245D" w:rsidP="001A0337">
      <w:pPr>
        <w:spacing w:before="255" w:after="0" w:line="216" w:lineRule="auto"/>
        <w:ind w:right="237"/>
        <w:contextualSpacing/>
        <w:jc w:val="both"/>
        <w:rPr>
          <w:rFonts w:ascii="Arial" w:eastAsia="Work Sans" w:hAnsi="Arial" w:cs="Arial"/>
          <w:lang w:val="es-ES"/>
        </w:rPr>
      </w:pPr>
      <w:r w:rsidRPr="000910A3">
        <w:rPr>
          <w:rFonts w:ascii="Arial" w:eastAsia="Work Sans" w:hAnsi="Arial" w:cs="Arial"/>
          <w:lang w:val="es-ES"/>
        </w:rPr>
        <w:t>El acceso a la energía garantiza el funcionamiento en los hogares y espacios comunitarios, de la iluminación, refrigeración básica, conectividad, equipos de comunicación y otros usos domésticos y comunitarios prioritarios; mejorando así las condiciones de bienestar, seguridad y economía, ampliando las oportunidades para el desarrollo de actividades educativas, productivas, comunitarias y de acceso a información y comunicaciones.</w:t>
      </w:r>
    </w:p>
    <w:p w14:paraId="0F13CB88" w14:textId="77777777" w:rsidR="001A0337" w:rsidRDefault="001A0337" w:rsidP="001A0337">
      <w:pPr>
        <w:spacing w:before="271" w:after="0" w:line="233" w:lineRule="auto"/>
        <w:ind w:right="248"/>
        <w:contextualSpacing/>
        <w:jc w:val="both"/>
        <w:rPr>
          <w:rFonts w:ascii="Arial" w:eastAsia="Work Sans" w:hAnsi="Arial" w:cs="Arial"/>
          <w:lang w:val="es"/>
        </w:rPr>
      </w:pPr>
    </w:p>
    <w:p w14:paraId="4EF0EA7A" w14:textId="0ADB0321" w:rsidR="0083245D" w:rsidRDefault="0083245D" w:rsidP="001A0337">
      <w:pPr>
        <w:spacing w:before="271" w:after="0" w:line="233" w:lineRule="auto"/>
        <w:ind w:right="248"/>
        <w:contextualSpacing/>
        <w:jc w:val="both"/>
        <w:rPr>
          <w:rFonts w:ascii="Arial" w:eastAsia="Work Sans" w:hAnsi="Arial" w:cs="Arial"/>
          <w:lang w:val="es"/>
        </w:rPr>
      </w:pPr>
      <w:r w:rsidRPr="000910A3">
        <w:rPr>
          <w:rFonts w:ascii="Arial" w:eastAsia="Work Sans" w:hAnsi="Arial" w:cs="Arial"/>
          <w:lang w:val="es"/>
        </w:rPr>
        <w:t>Asimismo, estas soluciones han favorecido procesos de inclusión social y cierre de brechas sociales y energéticas, particularmente en comunidades rurales dispersas y étnicas localizadas en territorios históricamente excluidos de la cobertura energética convencional.</w:t>
      </w:r>
    </w:p>
    <w:p w14:paraId="38D19784" w14:textId="77777777" w:rsidR="001A0337" w:rsidRPr="000910A3" w:rsidRDefault="001A0337" w:rsidP="001A0337">
      <w:pPr>
        <w:spacing w:before="271" w:after="0" w:line="233" w:lineRule="auto"/>
        <w:ind w:right="248"/>
        <w:contextualSpacing/>
        <w:jc w:val="both"/>
        <w:rPr>
          <w:rFonts w:ascii="Arial" w:eastAsia="Work Sans" w:hAnsi="Arial" w:cs="Arial"/>
          <w:lang w:val="es"/>
        </w:rPr>
      </w:pPr>
    </w:p>
    <w:p w14:paraId="024FF984" w14:textId="17E20CB6" w:rsidR="0083245D" w:rsidRPr="001A0337" w:rsidRDefault="0083245D" w:rsidP="001A0337">
      <w:pPr>
        <w:spacing w:before="271" w:after="0" w:line="233" w:lineRule="auto"/>
        <w:ind w:right="248"/>
        <w:contextualSpacing/>
        <w:jc w:val="both"/>
        <w:rPr>
          <w:rFonts w:ascii="Arial" w:hAnsi="Arial" w:cs="Arial"/>
        </w:rPr>
      </w:pPr>
      <w:r w:rsidRPr="000910A3">
        <w:rPr>
          <w:rFonts w:ascii="Arial" w:eastAsia="Work Sans" w:hAnsi="Arial" w:cs="Arial"/>
          <w:lang w:val="es-ES"/>
        </w:rPr>
        <w:t>Por su parte, el FENOGE precisa que la mayoría de las iniciativas ejecutadas de las vigencias recientes se enfocaron en el fortalecimiento, optimización o mejoramiento de las condiciones de la prestación del servicio no solo a usuarios, sino a instituciones públicas, instituciones educativas de usuarios ya existentes.</w:t>
      </w:r>
    </w:p>
    <w:p w14:paraId="5123DE85" w14:textId="77777777" w:rsidR="0083245D" w:rsidRPr="000910A3" w:rsidRDefault="0083245D" w:rsidP="0083245D">
      <w:pPr>
        <w:spacing w:before="271" w:after="0" w:line="233" w:lineRule="auto"/>
        <w:ind w:left="97" w:right="248" w:hanging="1"/>
        <w:contextualSpacing/>
        <w:jc w:val="both"/>
        <w:rPr>
          <w:rFonts w:ascii="Arial" w:eastAsia="Work Sans" w:hAnsi="Arial" w:cs="Arial"/>
          <w:lang w:val="es-ES"/>
        </w:rPr>
      </w:pPr>
    </w:p>
    <w:p w14:paraId="681C7C8B" w14:textId="52069D17" w:rsidR="0083245D" w:rsidRPr="001A0337" w:rsidRDefault="0083245D" w:rsidP="001A0337">
      <w:pPr>
        <w:pStyle w:val="Prrafodelista"/>
        <w:numPr>
          <w:ilvl w:val="0"/>
          <w:numId w:val="6"/>
        </w:numPr>
        <w:suppressAutoHyphens/>
        <w:spacing w:before="255" w:after="0" w:line="240" w:lineRule="auto"/>
        <w:jc w:val="both"/>
        <w:rPr>
          <w:rFonts w:ascii="Arial" w:eastAsia="Work Sans" w:hAnsi="Arial" w:cs="Arial"/>
          <w:i/>
          <w:iCs/>
          <w:lang w:val="es"/>
        </w:rPr>
      </w:pPr>
      <w:r w:rsidRPr="001A0337">
        <w:rPr>
          <w:rFonts w:ascii="Arial" w:eastAsia="Work Sans" w:hAnsi="Arial" w:cs="Arial"/>
          <w:i/>
          <w:iCs/>
          <w:lang w:val="es"/>
        </w:rPr>
        <w:t>Mejora en horas de servicio (horas de servicio iniciales Vs actuales)</w:t>
      </w:r>
    </w:p>
    <w:p w14:paraId="7F9492C6" w14:textId="77777777" w:rsidR="001A0337" w:rsidRPr="001A0337" w:rsidRDefault="001A0337" w:rsidP="001A0337">
      <w:pPr>
        <w:suppressAutoHyphens/>
        <w:spacing w:before="255" w:after="0" w:line="240" w:lineRule="auto"/>
        <w:jc w:val="both"/>
        <w:rPr>
          <w:rFonts w:ascii="Arial" w:eastAsia="Work Sans" w:hAnsi="Arial" w:cs="Arial"/>
          <w:i/>
          <w:iCs/>
          <w:lang w:val="es"/>
        </w:rPr>
      </w:pPr>
    </w:p>
    <w:p w14:paraId="27E2C461" w14:textId="77777777" w:rsidR="0083245D" w:rsidRPr="000910A3" w:rsidRDefault="0083245D" w:rsidP="0083245D">
      <w:pPr>
        <w:spacing w:before="264" w:after="0" w:line="233" w:lineRule="auto"/>
        <w:ind w:left="93" w:right="243" w:firstLine="1"/>
        <w:contextualSpacing/>
        <w:jc w:val="both"/>
        <w:rPr>
          <w:rFonts w:ascii="Arial" w:eastAsia="Work Sans" w:hAnsi="Arial" w:cs="Arial"/>
          <w:lang w:val="es"/>
        </w:rPr>
      </w:pPr>
      <w:r w:rsidRPr="000910A3">
        <w:rPr>
          <w:rFonts w:ascii="Arial" w:eastAsia="Work Sans" w:hAnsi="Arial" w:cs="Arial"/>
          <w:lang w:val="es"/>
        </w:rPr>
        <w:t>El IPSE informó que no es posible realizar una comparación de las horas de servicio iniciales frente a las actuales, debido a que ninguna de las CE listadas contaba previamente con sistemas de telemetría instalados que permitieran registrar esta información.</w:t>
      </w:r>
    </w:p>
    <w:p w14:paraId="41947596" w14:textId="77777777" w:rsidR="0083245D" w:rsidRPr="000910A3" w:rsidRDefault="0083245D" w:rsidP="0083245D">
      <w:pPr>
        <w:spacing w:before="264" w:after="0" w:line="233" w:lineRule="auto"/>
        <w:ind w:left="93" w:right="243" w:firstLine="1"/>
        <w:contextualSpacing/>
        <w:jc w:val="both"/>
        <w:rPr>
          <w:rFonts w:ascii="Arial" w:eastAsia="Work Sans" w:hAnsi="Arial" w:cs="Arial"/>
          <w:lang w:val="es"/>
        </w:rPr>
      </w:pPr>
    </w:p>
    <w:p w14:paraId="776FC5BE" w14:textId="77777777" w:rsidR="0083245D" w:rsidRPr="000910A3" w:rsidRDefault="0083245D" w:rsidP="0083245D">
      <w:pPr>
        <w:spacing w:before="287" w:after="0" w:line="233" w:lineRule="auto"/>
        <w:ind w:left="93" w:right="249" w:firstLine="3"/>
        <w:contextualSpacing/>
        <w:jc w:val="both"/>
        <w:rPr>
          <w:rFonts w:ascii="Arial" w:eastAsia="Work Sans" w:hAnsi="Arial" w:cs="Arial"/>
          <w:lang w:val="es"/>
        </w:rPr>
      </w:pPr>
      <w:r w:rsidRPr="000910A3">
        <w:rPr>
          <w:rFonts w:ascii="Arial" w:eastAsia="Work Sans" w:hAnsi="Arial" w:cs="Arial"/>
          <w:lang w:val="es"/>
        </w:rPr>
        <w:lastRenderedPageBreak/>
        <w:t>Adicionalmente, en la mayoría de los casos se trata de sistemas de generación nuevos, por lo cual no se dispone de una línea base histórica que facilite dicho análisis.</w:t>
      </w:r>
    </w:p>
    <w:p w14:paraId="63A944D2" w14:textId="77777777" w:rsidR="00684F88" w:rsidRPr="000910A3" w:rsidRDefault="00684F88" w:rsidP="0083245D">
      <w:pPr>
        <w:spacing w:before="287" w:after="0" w:line="233" w:lineRule="auto"/>
        <w:ind w:left="93" w:right="249" w:firstLine="3"/>
        <w:contextualSpacing/>
        <w:jc w:val="both"/>
        <w:rPr>
          <w:rFonts w:ascii="Arial" w:eastAsia="Work Sans" w:hAnsi="Arial" w:cs="Arial"/>
          <w:lang w:val="es-ES"/>
        </w:rPr>
      </w:pPr>
    </w:p>
    <w:p w14:paraId="6757C481" w14:textId="0194701D" w:rsidR="0083245D" w:rsidRPr="000910A3" w:rsidRDefault="00684F88" w:rsidP="0083245D">
      <w:pPr>
        <w:spacing w:before="287" w:after="0" w:line="233" w:lineRule="auto"/>
        <w:ind w:left="93" w:right="249" w:firstLine="3"/>
        <w:contextualSpacing/>
        <w:jc w:val="both"/>
        <w:rPr>
          <w:rFonts w:ascii="Arial" w:eastAsia="Work Sans" w:hAnsi="Arial" w:cs="Arial"/>
          <w:lang w:val="es-ES"/>
        </w:rPr>
      </w:pPr>
      <w:r w:rsidRPr="000910A3">
        <w:rPr>
          <w:rFonts w:ascii="Arial" w:eastAsia="Work Sans" w:hAnsi="Arial" w:cs="Arial"/>
          <w:lang w:val="es-ES"/>
        </w:rPr>
        <w:t>D</w:t>
      </w:r>
      <w:r w:rsidR="0083245D" w:rsidRPr="000910A3">
        <w:rPr>
          <w:rFonts w:ascii="Arial" w:eastAsia="Work Sans" w:hAnsi="Arial" w:cs="Arial"/>
          <w:lang w:val="es-ES"/>
        </w:rPr>
        <w:t>ependiendo de las condiciones particulares de cada territorio y de si los usuarios se encuentran ubicados en el Sistema Interconectado Nacional – SIN o en Zonas No Interconectadas – ZNI. En términos generales, los usuarios ubicados en el SIN cuentan normalmente con disponibilidad del servicio de energía eléctrica las veinticuatro (24) horas del día y los siete (7) días de la semana. Sin embargo, en territorios ZNI sí se han evidenciado mejoras sustanciales derivadas de las intervenciones realizadas. Como ejemplo, en la iniciativa desarrollada en Bahía Málaga, ejecutada durante los años 2023 y 2024, se logró incrementar la disponibilidad del servicio de energía de aproximadamente cuatro (4) horas diarias a un esquema de prestación continua de veinticuatro (24) horas.</w:t>
      </w:r>
    </w:p>
    <w:p w14:paraId="2D1A63D4" w14:textId="77777777" w:rsidR="0083245D" w:rsidRPr="000910A3" w:rsidRDefault="0083245D" w:rsidP="0083245D">
      <w:pPr>
        <w:pStyle w:val="Prrafodelista"/>
        <w:numPr>
          <w:ilvl w:val="0"/>
          <w:numId w:val="3"/>
        </w:numPr>
        <w:suppressAutoHyphens/>
        <w:spacing w:before="239" w:after="0" w:line="240" w:lineRule="auto"/>
        <w:ind w:left="789" w:hanging="350"/>
        <w:jc w:val="both"/>
        <w:rPr>
          <w:rFonts w:ascii="Arial" w:eastAsia="Work Sans" w:hAnsi="Arial" w:cs="Arial"/>
          <w:i/>
          <w:iCs/>
          <w:lang w:val="es-ES"/>
        </w:rPr>
      </w:pPr>
      <w:r w:rsidRPr="000910A3">
        <w:rPr>
          <w:rFonts w:ascii="Arial" w:eastAsia="Work Sans" w:hAnsi="Arial" w:cs="Arial"/>
          <w:i/>
          <w:iCs/>
          <w:lang w:val="es-ES"/>
        </w:rPr>
        <w:t>Mejora en la calidad y continuidad del servicio (SAFDI y SAIFI)</w:t>
      </w:r>
    </w:p>
    <w:p w14:paraId="6874831F" w14:textId="77777777" w:rsidR="0083245D" w:rsidRPr="000910A3" w:rsidRDefault="0083245D" w:rsidP="0083245D">
      <w:pPr>
        <w:spacing w:before="248" w:after="0"/>
        <w:ind w:left="98" w:right="180"/>
        <w:jc w:val="both"/>
        <w:rPr>
          <w:rFonts w:ascii="Arial" w:eastAsia="Work Sans" w:hAnsi="Arial" w:cs="Arial"/>
          <w:lang w:val="es"/>
        </w:rPr>
      </w:pPr>
      <w:r w:rsidRPr="000910A3">
        <w:rPr>
          <w:rFonts w:ascii="Arial" w:eastAsia="Work Sans" w:hAnsi="Arial" w:cs="Arial"/>
          <w:lang w:val="es"/>
        </w:rPr>
        <w:t>El IPSE, señala que el artículo 45 de la Ley 2099 de 2021 faculta para estructurar, presentar y viabilizar ante fondos público que hagan inversiones en el sector eléctrico, tales como FENOGE, FONENERGIA, entre otros, planes, programas y proyectos en el Sistema Interconectado Nacional</w:t>
      </w:r>
      <w:r w:rsidRPr="000910A3">
        <w:rPr>
          <w:rFonts w:ascii="Arial" w:eastAsiaTheme="minorEastAsia" w:hAnsi="Arial" w:cs="Arial"/>
          <w:lang w:val="es"/>
        </w:rPr>
        <w:t xml:space="preserve"> </w:t>
      </w:r>
      <w:r w:rsidRPr="000910A3">
        <w:rPr>
          <w:rFonts w:ascii="Arial" w:eastAsia="Work Sans" w:hAnsi="Arial" w:cs="Arial"/>
          <w:lang w:val="es"/>
        </w:rPr>
        <w:t>y en Zonas No interconectadas dirigidos a promover, desarrollar, implementar o ejecutar Fuentes No Convencionales de Energía y Gestión Eficiente de la Energía, así como el uso de FNCER para la prestación de servicios públicos domiciliarios, adaptación de los sistemas de alumbrado público en Colombia para la gestión eficiente de la energía, atención de emergencias en las Zonas no interconectadas (ZNI), inversión en acometidas y redes internas, así como en mecanismos de sustitución hacia Fuentes no Convencionales de Energía (FNCE) y combustibles más limpios.</w:t>
      </w:r>
    </w:p>
    <w:p w14:paraId="58D72490" w14:textId="77777777" w:rsidR="0083245D" w:rsidRPr="000910A3" w:rsidRDefault="0083245D" w:rsidP="0083245D">
      <w:pPr>
        <w:spacing w:before="248" w:after="0"/>
        <w:ind w:left="98" w:right="180"/>
        <w:jc w:val="both"/>
        <w:rPr>
          <w:rFonts w:ascii="Arial" w:eastAsia="Work Sans" w:hAnsi="Arial" w:cs="Arial"/>
          <w:lang w:val="es"/>
        </w:rPr>
      </w:pPr>
      <w:r w:rsidRPr="000910A3">
        <w:rPr>
          <w:rFonts w:ascii="Arial" w:eastAsia="Work Sans" w:hAnsi="Arial" w:cs="Arial"/>
          <w:lang w:val="es"/>
        </w:rPr>
        <w:t>De tal manera que bajo las disposiciones del Decreto 257 de 2004, es claro entonces que, acorde con lo dispuesto en el Decreto 257 de 2004 y el artículo 45 de la Ley 2099 de 2021, el IPSE es un establecimiento público que en ningún caso responde a la naturaleza de empresa de servicios públicos y por lo tanto no cumple las veces de un operador de red.</w:t>
      </w:r>
    </w:p>
    <w:p w14:paraId="50A27C28" w14:textId="77777777" w:rsidR="0083245D" w:rsidRPr="000910A3" w:rsidRDefault="0083245D" w:rsidP="0083245D">
      <w:pPr>
        <w:spacing w:before="267" w:after="0" w:line="240" w:lineRule="auto"/>
        <w:ind w:left="97"/>
        <w:contextualSpacing/>
        <w:jc w:val="both"/>
        <w:rPr>
          <w:rFonts w:ascii="Arial" w:hAnsi="Arial" w:cs="Arial"/>
        </w:rPr>
      </w:pPr>
      <w:r w:rsidRPr="000910A3">
        <w:rPr>
          <w:rFonts w:ascii="Arial" w:eastAsia="Work Sans" w:hAnsi="Arial" w:cs="Arial"/>
          <w:lang w:val="es"/>
        </w:rPr>
        <w:t xml:space="preserve">Respecto al punto en concreto, señala que la Resolución CREG 015 de 2018 complementada por la Resolución </w:t>
      </w:r>
      <w:r w:rsidRPr="000910A3">
        <w:rPr>
          <w:rFonts w:ascii="Arial" w:eastAsia="Work Sans" w:hAnsi="Arial" w:cs="Arial"/>
          <w:color w:val="0562C1"/>
          <w:u w:val="single"/>
          <w:lang w:val="es"/>
        </w:rPr>
        <w:t>101-19</w:t>
      </w:r>
      <w:r w:rsidRPr="000910A3">
        <w:rPr>
          <w:rFonts w:ascii="Arial" w:eastAsia="Work Sans" w:hAnsi="Arial" w:cs="Arial"/>
          <w:color w:val="0562C1"/>
          <w:lang w:val="es"/>
        </w:rPr>
        <w:t xml:space="preserve"> </w:t>
      </w:r>
      <w:r w:rsidRPr="000910A3">
        <w:rPr>
          <w:rFonts w:ascii="Arial" w:eastAsia="Work Sans" w:hAnsi="Arial" w:cs="Arial"/>
          <w:lang w:val="es"/>
        </w:rPr>
        <w:t xml:space="preserve">de 2023, modificada por la Resolución </w:t>
      </w:r>
      <w:r w:rsidRPr="000910A3">
        <w:rPr>
          <w:rFonts w:ascii="Arial" w:eastAsia="Work Sans" w:hAnsi="Arial" w:cs="Arial"/>
          <w:color w:val="0562C1"/>
          <w:u w:val="single"/>
          <w:lang w:val="es"/>
        </w:rPr>
        <w:t>101050</w:t>
      </w:r>
      <w:r w:rsidRPr="000910A3">
        <w:rPr>
          <w:rFonts w:ascii="Arial" w:eastAsia="Work Sans" w:hAnsi="Arial" w:cs="Arial"/>
          <w:color w:val="0562C1"/>
          <w:lang w:val="es"/>
        </w:rPr>
        <w:t xml:space="preserve"> </w:t>
      </w:r>
      <w:r w:rsidRPr="000910A3">
        <w:rPr>
          <w:rFonts w:ascii="Arial" w:eastAsia="Work Sans" w:hAnsi="Arial" w:cs="Arial"/>
          <w:lang w:val="es"/>
        </w:rPr>
        <w:t>de 5 de septiembre de 2024, establece la metodología regulatoria de evaluación de la calidad del servicio de energía eléctrica, la cual se fundamenta principalmente en el seguimiento a los indicadores de calidad media (SAIDI y SAIFI) e indicadores de calidad individual (DIU y FIU), que representan el tiempo de indisponibilidad y la cantidad de interrupciones del servicio que se generan en todo el mercado de comercialización de los prestadores y de forma individual para cada usuario, respectivamente.</w:t>
      </w:r>
    </w:p>
    <w:p w14:paraId="0481EE31" w14:textId="77777777" w:rsidR="0083245D" w:rsidRPr="000910A3" w:rsidRDefault="0083245D" w:rsidP="0083245D">
      <w:pPr>
        <w:pStyle w:val="Prrafodelista"/>
        <w:numPr>
          <w:ilvl w:val="0"/>
          <w:numId w:val="3"/>
        </w:numPr>
        <w:suppressAutoHyphens/>
        <w:spacing w:before="246" w:after="0" w:line="233" w:lineRule="auto"/>
        <w:ind w:left="795" w:right="242" w:hanging="363"/>
        <w:jc w:val="both"/>
        <w:rPr>
          <w:rFonts w:ascii="Arial" w:eastAsia="Work Sans" w:hAnsi="Arial" w:cs="Arial"/>
          <w:lang w:val="es"/>
        </w:rPr>
      </w:pPr>
      <w:r w:rsidRPr="000910A3">
        <w:rPr>
          <w:rFonts w:ascii="Arial" w:eastAsia="Work Sans" w:hAnsi="Arial" w:cs="Arial"/>
          <w:lang w:val="es"/>
        </w:rPr>
        <w:lastRenderedPageBreak/>
        <w:t>El indicador SAIDI, hace referencia a la duración promedio por usuario, de los eventos sucedidos en el SDL del OR, durante el año, medido en horas al año.</w:t>
      </w:r>
    </w:p>
    <w:p w14:paraId="079B713F" w14:textId="77777777" w:rsidR="0083245D" w:rsidRPr="000910A3" w:rsidRDefault="0083245D" w:rsidP="0083245D">
      <w:pPr>
        <w:pStyle w:val="Prrafodelista"/>
        <w:numPr>
          <w:ilvl w:val="0"/>
          <w:numId w:val="3"/>
        </w:numPr>
        <w:suppressAutoHyphens/>
        <w:spacing w:before="260" w:after="0" w:line="233" w:lineRule="auto"/>
        <w:ind w:left="795" w:right="240" w:hanging="363"/>
        <w:jc w:val="both"/>
        <w:rPr>
          <w:rFonts w:ascii="Arial" w:eastAsia="Work Sans" w:hAnsi="Arial" w:cs="Arial"/>
          <w:lang w:val="es"/>
        </w:rPr>
      </w:pPr>
      <w:r w:rsidRPr="000910A3">
        <w:rPr>
          <w:rFonts w:ascii="Arial" w:eastAsia="Work Sans" w:hAnsi="Arial" w:cs="Arial"/>
          <w:lang w:val="es"/>
        </w:rPr>
        <w:t>El indicador SAIFI, trata sobre la frecuencia promedio por usuario, de los eventos sucedidos en el SDL del OR, durante el año, medido en cantidad al año.</w:t>
      </w:r>
    </w:p>
    <w:p w14:paraId="71542E23" w14:textId="77777777" w:rsidR="0083245D" w:rsidRPr="000910A3" w:rsidRDefault="0083245D" w:rsidP="0083245D">
      <w:pPr>
        <w:spacing w:before="248" w:after="0"/>
        <w:ind w:left="98" w:right="180"/>
        <w:jc w:val="both"/>
        <w:rPr>
          <w:rFonts w:ascii="Arial" w:eastAsia="Work Sans" w:hAnsi="Arial" w:cs="Arial"/>
          <w:lang w:val="es"/>
        </w:rPr>
      </w:pPr>
      <w:r w:rsidRPr="000910A3">
        <w:rPr>
          <w:rFonts w:ascii="Arial" w:eastAsia="Work Sans" w:hAnsi="Arial" w:cs="Arial"/>
          <w:lang w:val="es"/>
        </w:rPr>
        <w:t>Es precisamente a partir de los mencionados indicadores, que el Regulador estableció el esquema de incentivos y compensaciones, que representan ya sea estímulos positivos en los cargos de distribución a las empresas que suministran el servicio, o beneficios monetarios para los usuarios en sus facturas por las falencias ocasionadas por las empresas a estos.</w:t>
      </w:r>
    </w:p>
    <w:p w14:paraId="457AF405" w14:textId="77777777" w:rsidR="0083245D" w:rsidRPr="000910A3" w:rsidRDefault="0083245D" w:rsidP="0083245D">
      <w:pPr>
        <w:spacing w:before="248" w:after="0"/>
        <w:ind w:left="98" w:right="180"/>
        <w:jc w:val="both"/>
        <w:rPr>
          <w:rFonts w:ascii="Arial" w:hAnsi="Arial" w:cs="Arial"/>
        </w:rPr>
      </w:pPr>
      <w:r w:rsidRPr="000910A3">
        <w:rPr>
          <w:rFonts w:ascii="Arial" w:eastAsia="Work Sans" w:hAnsi="Arial" w:cs="Arial"/>
          <w:lang w:val="es"/>
        </w:rPr>
        <w:t>Se informa que la Superintendencia de Servicios Públicos Domiciliarios en el marco de sus funciones, realiza el monitoreo de estos indicadores y vigila que se encuentren dentro de los límites definidos por la regulación vigente, generando las acciones correspondientes en el caso de encontrar comportamientos ajenos a lo definido por la CREG.</w:t>
      </w:r>
    </w:p>
    <w:p w14:paraId="18F02EAC" w14:textId="77777777" w:rsidR="0083245D" w:rsidRPr="000910A3" w:rsidRDefault="0083245D" w:rsidP="0083245D">
      <w:pPr>
        <w:spacing w:before="248" w:after="0"/>
        <w:ind w:left="98" w:right="180"/>
        <w:jc w:val="both"/>
        <w:rPr>
          <w:rFonts w:ascii="Arial" w:eastAsia="Work Sans" w:hAnsi="Arial" w:cs="Arial"/>
          <w:lang w:val="es"/>
        </w:rPr>
      </w:pPr>
      <w:r w:rsidRPr="000910A3">
        <w:rPr>
          <w:rFonts w:ascii="Arial" w:eastAsia="Work Sans" w:hAnsi="Arial" w:cs="Arial"/>
          <w:lang w:val="es"/>
        </w:rPr>
        <w:t>En ese orden, los indicadores de calidad y continuidad del servicio (SAIDI y SAIFI) corresponde a los diferentes Operadores de Red (OR) en el Sistema Interconectado Nacional (SIN), en la medida que se refiere a medición de los eventos sucedidos en el Sistema de Distribución Local (SDL) de cada Operador de red (OR) frente al servicio prestado a sus usuarios registrados. Esta medición de indicadores permite identificar, las principales causas de eventos que impactan directamente la calidad de la prestación del servicio de energía eléctrica en Colombia.</w:t>
      </w:r>
    </w:p>
    <w:p w14:paraId="513B4191" w14:textId="77777777" w:rsidR="0083245D" w:rsidRPr="000910A3" w:rsidRDefault="0083245D" w:rsidP="0083245D">
      <w:pPr>
        <w:spacing w:before="248" w:after="0"/>
        <w:ind w:left="98" w:right="180"/>
        <w:jc w:val="both"/>
        <w:rPr>
          <w:rFonts w:ascii="Arial" w:eastAsia="Work Sans" w:hAnsi="Arial" w:cs="Arial"/>
          <w:lang w:val="es"/>
        </w:rPr>
      </w:pPr>
      <w:r w:rsidRPr="000910A3">
        <w:rPr>
          <w:rFonts w:ascii="Arial" w:eastAsia="Work Sans" w:hAnsi="Arial" w:cs="Arial"/>
          <w:lang w:val="es"/>
        </w:rPr>
        <w:t xml:space="preserve">Entendiendo por evento, aquella situación que causa la indisponibilidad parcial o total de un activo de uso y que ocurre de manera programada o no programada. </w:t>
      </w:r>
    </w:p>
    <w:p w14:paraId="694F43A5" w14:textId="77777777" w:rsidR="0083245D" w:rsidRPr="000910A3" w:rsidRDefault="0083245D" w:rsidP="0083245D">
      <w:pPr>
        <w:spacing w:before="248" w:after="0"/>
        <w:ind w:left="98" w:right="180"/>
        <w:jc w:val="both"/>
        <w:rPr>
          <w:rFonts w:ascii="Arial" w:hAnsi="Arial" w:cs="Arial"/>
        </w:rPr>
      </w:pPr>
    </w:p>
    <w:p w14:paraId="20E30755" w14:textId="77777777" w:rsidR="0083245D" w:rsidRPr="000910A3" w:rsidRDefault="0083245D" w:rsidP="0083245D">
      <w:pPr>
        <w:pStyle w:val="Prrafodelista"/>
        <w:numPr>
          <w:ilvl w:val="1"/>
          <w:numId w:val="2"/>
        </w:numPr>
        <w:suppressAutoHyphens/>
        <w:spacing w:after="0" w:line="240" w:lineRule="auto"/>
        <w:ind w:left="790" w:hanging="351"/>
        <w:jc w:val="both"/>
        <w:rPr>
          <w:rFonts w:ascii="Arial" w:eastAsia="Work Sans" w:hAnsi="Arial" w:cs="Arial"/>
          <w:i/>
          <w:iCs/>
          <w:lang w:val="es"/>
        </w:rPr>
      </w:pPr>
      <w:r w:rsidRPr="000910A3">
        <w:rPr>
          <w:rFonts w:ascii="Arial" w:eastAsia="Work Sans" w:hAnsi="Arial" w:cs="Arial"/>
          <w:i/>
          <w:iCs/>
          <w:lang w:val="es"/>
        </w:rPr>
        <w:t>Reducción de tarifas (en pesos $ y en porcentaje %)</w:t>
      </w:r>
    </w:p>
    <w:p w14:paraId="409CFB0E" w14:textId="77777777" w:rsidR="0083245D" w:rsidRPr="000910A3" w:rsidRDefault="0083245D" w:rsidP="0083245D">
      <w:pPr>
        <w:pStyle w:val="Prrafodelista"/>
        <w:spacing w:after="0" w:line="240" w:lineRule="auto"/>
        <w:ind w:left="790" w:hanging="351"/>
        <w:jc w:val="both"/>
        <w:rPr>
          <w:rFonts w:ascii="Arial" w:eastAsia="Work Sans" w:hAnsi="Arial" w:cs="Arial"/>
          <w:i/>
          <w:iCs/>
          <w:lang w:val="es"/>
        </w:rPr>
      </w:pPr>
    </w:p>
    <w:p w14:paraId="6158243F" w14:textId="77777777" w:rsidR="0083245D" w:rsidRPr="000910A3" w:rsidRDefault="0083245D" w:rsidP="0083245D">
      <w:pPr>
        <w:spacing w:before="22" w:after="0" w:line="240" w:lineRule="auto"/>
        <w:contextualSpacing/>
        <w:jc w:val="both"/>
        <w:rPr>
          <w:rFonts w:ascii="Arial" w:eastAsia="Work Sans" w:hAnsi="Arial" w:cs="Arial"/>
          <w:lang w:val="es"/>
        </w:rPr>
      </w:pPr>
      <w:r w:rsidRPr="000910A3">
        <w:rPr>
          <w:rFonts w:ascii="Arial" w:eastAsia="Work Sans" w:hAnsi="Arial" w:cs="Arial"/>
          <w:lang w:val="es"/>
        </w:rPr>
        <w:t>AI respecto el IPSE informa que la metodología para la remuneración de la actividad de distribución de energía eléctrica en el Sistema Interconectado Nacional (Resolución CREG 015 de 2018) considera, entre otros, criterios generales como:</w:t>
      </w:r>
    </w:p>
    <w:p w14:paraId="0D736EC4" w14:textId="77777777" w:rsidR="0083245D" w:rsidRPr="000910A3" w:rsidRDefault="0083245D" w:rsidP="0083245D">
      <w:pPr>
        <w:pStyle w:val="Prrafodelista"/>
        <w:numPr>
          <w:ilvl w:val="1"/>
          <w:numId w:val="2"/>
        </w:numPr>
        <w:suppressAutoHyphens/>
        <w:spacing w:before="247" w:after="0" w:line="247" w:lineRule="auto"/>
        <w:ind w:left="793" w:right="251" w:hanging="355"/>
        <w:jc w:val="both"/>
        <w:rPr>
          <w:rFonts w:ascii="Arial" w:eastAsia="Work Sans" w:hAnsi="Arial" w:cs="Arial"/>
          <w:lang w:val="es"/>
        </w:rPr>
      </w:pPr>
      <w:r w:rsidRPr="000910A3">
        <w:rPr>
          <w:rFonts w:ascii="Arial" w:eastAsia="Work Sans" w:hAnsi="Arial" w:cs="Arial"/>
          <w:lang w:val="es"/>
        </w:rPr>
        <w:t>Un operador de red (OR) se remunera mediante cargos por uso por la totalidad de los activos de uso que opera y mantiene para la prestación del servicio, independientemente de su propiedad.</w:t>
      </w:r>
    </w:p>
    <w:p w14:paraId="206CFB92" w14:textId="77777777" w:rsidR="0083245D" w:rsidRPr="000910A3" w:rsidRDefault="0083245D" w:rsidP="0083245D">
      <w:pPr>
        <w:pStyle w:val="Prrafodelista"/>
        <w:numPr>
          <w:ilvl w:val="1"/>
          <w:numId w:val="2"/>
        </w:numPr>
        <w:suppressAutoHyphens/>
        <w:spacing w:before="13" w:after="0" w:line="257" w:lineRule="auto"/>
        <w:ind w:left="796" w:right="243" w:hanging="358"/>
        <w:jc w:val="both"/>
        <w:rPr>
          <w:rFonts w:ascii="Arial" w:eastAsia="Work Sans" w:hAnsi="Arial" w:cs="Arial"/>
          <w:lang w:val="es"/>
        </w:rPr>
      </w:pPr>
      <w:r w:rsidRPr="000910A3">
        <w:rPr>
          <w:rFonts w:ascii="Arial" w:eastAsia="Work Sans" w:hAnsi="Arial" w:cs="Arial"/>
          <w:lang w:val="es"/>
        </w:rPr>
        <w:t xml:space="preserve">Los cargos por uso resultantes de aplicar la metodología remuneran tanto el uso de infraestructura como los gastos de AOM, necesarios para llevar </w:t>
      </w:r>
      <w:r w:rsidRPr="000910A3">
        <w:rPr>
          <w:rFonts w:ascii="Arial" w:eastAsia="Work Sans" w:hAnsi="Arial" w:cs="Arial"/>
          <w:lang w:val="es"/>
        </w:rPr>
        <w:lastRenderedPageBreak/>
        <w:t>la energía eléctrica desde el STN hasta los puntos de conexión de los usuarios finales a los STR o SDL.</w:t>
      </w:r>
    </w:p>
    <w:p w14:paraId="0FFBC385" w14:textId="77777777" w:rsidR="0083245D" w:rsidRPr="000910A3" w:rsidRDefault="0083245D" w:rsidP="0083245D">
      <w:pPr>
        <w:pStyle w:val="Prrafodelista"/>
        <w:numPr>
          <w:ilvl w:val="1"/>
          <w:numId w:val="2"/>
        </w:numPr>
        <w:suppressAutoHyphens/>
        <w:spacing w:before="3" w:after="0" w:line="257" w:lineRule="auto"/>
        <w:ind w:left="795" w:right="237" w:hanging="357"/>
        <w:jc w:val="both"/>
        <w:rPr>
          <w:rFonts w:ascii="Arial" w:eastAsia="Work Sans" w:hAnsi="Arial" w:cs="Arial"/>
          <w:lang w:val="es"/>
        </w:rPr>
      </w:pPr>
      <w:r w:rsidRPr="000910A3">
        <w:rPr>
          <w:rFonts w:ascii="Arial" w:eastAsia="Work Sans" w:hAnsi="Arial" w:cs="Arial"/>
          <w:lang w:val="es"/>
        </w:rPr>
        <w:t>En virtud del principio de integralidad de la tarifa establecido en la Ley, los ingresos y cargos de los SDL varían según la calidad del servicio prestado. La calidad del servicio del STR se determina a partir de la información reportada por los OR al Centro Nacional de Despacho, en adelante CND, sobre la indisponibilidad de los activos.</w:t>
      </w:r>
    </w:p>
    <w:p w14:paraId="488870A0" w14:textId="77777777" w:rsidR="0083245D" w:rsidRPr="000910A3" w:rsidRDefault="0083245D" w:rsidP="0083245D">
      <w:pPr>
        <w:pStyle w:val="Prrafodelista"/>
        <w:spacing w:before="3" w:after="0" w:line="257" w:lineRule="auto"/>
        <w:ind w:left="795" w:right="237"/>
        <w:jc w:val="both"/>
        <w:rPr>
          <w:rFonts w:ascii="Arial" w:eastAsia="Work Sans" w:hAnsi="Arial" w:cs="Arial"/>
          <w:lang w:val="es"/>
        </w:rPr>
      </w:pPr>
    </w:p>
    <w:p w14:paraId="35558384" w14:textId="77777777" w:rsidR="0083245D" w:rsidRPr="000910A3" w:rsidRDefault="0083245D" w:rsidP="0083245D">
      <w:pPr>
        <w:spacing w:before="3" w:after="0" w:line="240" w:lineRule="auto"/>
        <w:contextualSpacing/>
        <w:jc w:val="both"/>
        <w:rPr>
          <w:rFonts w:ascii="Arial" w:eastAsia="Work Sans" w:hAnsi="Arial" w:cs="Arial"/>
          <w:lang w:val="es"/>
        </w:rPr>
      </w:pPr>
      <w:r w:rsidRPr="000910A3">
        <w:rPr>
          <w:rFonts w:ascii="Arial" w:eastAsiaTheme="minorEastAsia" w:hAnsi="Arial" w:cs="Arial"/>
          <w:lang w:val="es"/>
        </w:rPr>
        <w:t>Dicho esto, se reitera que de conformidad con las disposiciones del Decreto 257 de 2004, el Decreto 257 de 2004 y el artículo 45 de la Ley 2099 de 2021, el IPSE es un establecimiento público cuya naturaleza no corresponde al de una empresa de servicios públicos y por lo tanto no cumple las veces de un operador de red.</w:t>
      </w:r>
    </w:p>
    <w:p w14:paraId="2CA32D2E" w14:textId="77777777" w:rsidR="0083245D" w:rsidRPr="000910A3" w:rsidRDefault="0083245D" w:rsidP="0083245D">
      <w:pPr>
        <w:pStyle w:val="Prrafodelista"/>
        <w:numPr>
          <w:ilvl w:val="1"/>
          <w:numId w:val="2"/>
        </w:numPr>
        <w:suppressAutoHyphens/>
        <w:spacing w:before="229" w:after="0" w:line="240" w:lineRule="auto"/>
        <w:ind w:left="779" w:hanging="341"/>
        <w:jc w:val="both"/>
        <w:rPr>
          <w:rFonts w:ascii="Arial" w:eastAsia="Work Sans" w:hAnsi="Arial" w:cs="Arial"/>
          <w:i/>
          <w:iCs/>
          <w:lang w:val="es"/>
        </w:rPr>
      </w:pPr>
      <w:r w:rsidRPr="000910A3">
        <w:rPr>
          <w:rFonts w:ascii="Arial" w:eastAsiaTheme="minorEastAsia" w:hAnsi="Arial" w:cs="Arial"/>
          <w:lang w:val="es"/>
        </w:rPr>
        <w:t>Sustitución de</w:t>
      </w:r>
      <w:r w:rsidRPr="000910A3">
        <w:rPr>
          <w:rFonts w:ascii="Arial" w:eastAsia="Work Sans" w:hAnsi="Arial" w:cs="Arial"/>
          <w:i/>
          <w:iCs/>
          <w:lang w:val="es"/>
        </w:rPr>
        <w:t xml:space="preserve"> leña (kg de leña sustituida)</w:t>
      </w:r>
    </w:p>
    <w:p w14:paraId="0B090978" w14:textId="77777777" w:rsidR="0083245D" w:rsidRPr="000910A3" w:rsidRDefault="0083245D" w:rsidP="0083245D">
      <w:pPr>
        <w:spacing w:before="221" w:after="0" w:line="235" w:lineRule="auto"/>
        <w:ind w:left="95" w:right="243" w:firstLine="1"/>
        <w:contextualSpacing/>
        <w:jc w:val="both"/>
        <w:rPr>
          <w:rFonts w:ascii="Arial" w:eastAsia="Work Sans" w:hAnsi="Arial" w:cs="Arial"/>
          <w:lang w:val="es"/>
        </w:rPr>
      </w:pPr>
      <w:r w:rsidRPr="000910A3">
        <w:rPr>
          <w:rFonts w:ascii="Arial" w:eastAsiaTheme="minorEastAsia" w:hAnsi="Arial" w:cs="Arial"/>
          <w:lang w:val="es"/>
        </w:rPr>
        <w:t>El IPSE, en cumplimiento de su misión, identifica, prioriza, caracteriza, estructura y promociona proyectos energéticos para las comunidades ubicadas en las zonas no interconectadas, con énfasis en el uso de fuentes no convencionales de energía renovables — FNCER-, orientados a la ampliación de la cobertura y/o al mejoramiento de la infraestructura existente, en el marco de las estrategias de transición energética justa, reducción de emisiones y conformación de comunidades energéticas.</w:t>
      </w:r>
    </w:p>
    <w:p w14:paraId="74BCE634" w14:textId="77777777" w:rsidR="0083245D" w:rsidRPr="000910A3" w:rsidRDefault="0083245D" w:rsidP="0083245D">
      <w:pPr>
        <w:spacing w:before="1" w:after="0" w:line="206" w:lineRule="auto"/>
        <w:ind w:left="93" w:right="229" w:firstLine="1"/>
        <w:contextualSpacing/>
        <w:jc w:val="both"/>
        <w:rPr>
          <w:rFonts w:ascii="Arial" w:eastAsia="Work Sans" w:hAnsi="Arial" w:cs="Arial"/>
          <w:lang w:val="es"/>
        </w:rPr>
      </w:pPr>
      <w:r w:rsidRPr="000910A3">
        <w:rPr>
          <w:rFonts w:ascii="Arial" w:eastAsiaTheme="minorEastAsia" w:hAnsi="Arial" w:cs="Arial"/>
          <w:lang w:val="es"/>
        </w:rPr>
        <w:t xml:space="preserve"> </w:t>
      </w:r>
    </w:p>
    <w:p w14:paraId="0DD86024" w14:textId="77777777" w:rsidR="0083245D" w:rsidRPr="000910A3" w:rsidRDefault="0083245D" w:rsidP="0083245D">
      <w:pPr>
        <w:spacing w:before="1" w:after="0" w:line="206" w:lineRule="auto"/>
        <w:ind w:left="93" w:right="229" w:firstLine="1"/>
        <w:contextualSpacing/>
        <w:jc w:val="both"/>
        <w:rPr>
          <w:rFonts w:ascii="Arial" w:eastAsiaTheme="minorEastAsia" w:hAnsi="Arial" w:cs="Arial"/>
          <w:lang w:val="es"/>
        </w:rPr>
      </w:pPr>
      <w:r w:rsidRPr="000910A3">
        <w:rPr>
          <w:rFonts w:ascii="Arial" w:eastAsiaTheme="minorEastAsia" w:hAnsi="Arial" w:cs="Arial"/>
          <w:lang w:val="es"/>
        </w:rPr>
        <w:t>En este contexto, todos los proyectos que estructura el IPSE buscan la generación de energía eléctrica a través del uso de fuentes no convencionales, principalmente la solar fotovoltaica, ya sea con soluciones individuales, centralizadas, híbridas o microrredes, para atender las necesidades de energía en materia de iluminación, uso de equipos eléctricos y/o electrodomésticos, de conformidad con el cuadro de cargas y el análisis de potencial energético.</w:t>
      </w:r>
    </w:p>
    <w:p w14:paraId="40ECF34F" w14:textId="77777777" w:rsidR="0083245D" w:rsidRPr="000910A3" w:rsidRDefault="0083245D" w:rsidP="0083245D">
      <w:pPr>
        <w:spacing w:before="1" w:after="0" w:line="206" w:lineRule="auto"/>
        <w:ind w:left="93" w:right="229" w:firstLine="1"/>
        <w:contextualSpacing/>
        <w:jc w:val="both"/>
        <w:rPr>
          <w:rFonts w:ascii="Arial" w:eastAsia="Work Sans" w:hAnsi="Arial" w:cs="Arial"/>
          <w:lang w:val="es"/>
        </w:rPr>
      </w:pPr>
    </w:p>
    <w:p w14:paraId="5D3EFA4F" w14:textId="77777777" w:rsidR="0083245D" w:rsidRPr="000910A3" w:rsidRDefault="0083245D" w:rsidP="0083245D">
      <w:pPr>
        <w:spacing w:before="257" w:after="0" w:line="235" w:lineRule="auto"/>
        <w:ind w:left="97" w:right="243"/>
        <w:contextualSpacing/>
        <w:jc w:val="both"/>
        <w:rPr>
          <w:rFonts w:ascii="Arial" w:hAnsi="Arial" w:cs="Arial"/>
        </w:rPr>
      </w:pPr>
      <w:r w:rsidRPr="000910A3">
        <w:rPr>
          <w:rFonts w:ascii="Arial" w:eastAsia="Work Sans" w:hAnsi="Arial" w:cs="Arial"/>
          <w:lang w:val="es"/>
        </w:rPr>
        <w:t>En las actividades de caracterización de los usuarios, etapa inicial en la estructuración de proyectos, se consulta sobre el uso de leña y el costo de su consumo, como un dato para establecer el valor de sustitutos energéticos y la definición del esquema de sostenibilidad más adecuado para el proyecto.</w:t>
      </w:r>
    </w:p>
    <w:p w14:paraId="54159605" w14:textId="77777777" w:rsidR="0083245D" w:rsidRPr="000910A3" w:rsidRDefault="0083245D" w:rsidP="0083245D">
      <w:pPr>
        <w:spacing w:before="258" w:after="0" w:line="211" w:lineRule="auto"/>
        <w:ind w:left="94" w:right="245" w:firstLine="2"/>
        <w:contextualSpacing/>
        <w:jc w:val="both"/>
        <w:rPr>
          <w:rFonts w:ascii="Arial" w:eastAsia="Work Sans" w:hAnsi="Arial" w:cs="Arial"/>
          <w:lang w:val="es-ES"/>
        </w:rPr>
      </w:pPr>
      <w:r w:rsidRPr="000910A3">
        <w:rPr>
          <w:rFonts w:ascii="Arial" w:eastAsia="Work Sans" w:hAnsi="Arial" w:cs="Arial"/>
          <w:lang w:val="es-ES"/>
        </w:rPr>
        <w:t xml:space="preserve">De otro </w:t>
      </w:r>
      <w:proofErr w:type="spellStart"/>
      <w:r w:rsidRPr="000910A3">
        <w:rPr>
          <w:rFonts w:ascii="Arial" w:eastAsia="Work Sans" w:hAnsi="Arial" w:cs="Arial"/>
          <w:lang w:val="es-ES"/>
        </w:rPr>
        <w:t>Iado</w:t>
      </w:r>
      <w:proofErr w:type="spellEnd"/>
      <w:r w:rsidRPr="000910A3">
        <w:rPr>
          <w:rFonts w:ascii="Arial" w:eastAsia="Work Sans" w:hAnsi="Arial" w:cs="Arial"/>
          <w:lang w:val="es-ES"/>
        </w:rPr>
        <w:t>, el uso de leña en estas comunidades por lo general es para la cocción de alimentos, no para la generación de energía eléctrica. En este sentido, y dado que el IPSE, como se ha mencionado, estructura proyectos para la generación de energía eléctrica, no es posible calcular el impacto de los proyectos en función de “kilogramos de leña sustituida”.</w:t>
      </w:r>
    </w:p>
    <w:p w14:paraId="5B29182E" w14:textId="77777777" w:rsidR="0083245D" w:rsidRPr="00E42BE3" w:rsidRDefault="0083245D" w:rsidP="0083245D">
      <w:pPr>
        <w:spacing w:before="258" w:after="0" w:line="211" w:lineRule="auto"/>
        <w:ind w:left="94" w:right="245" w:firstLine="2"/>
        <w:contextualSpacing/>
        <w:jc w:val="both"/>
        <w:rPr>
          <w:rFonts w:ascii="Work Sans" w:hAnsi="Work Sans"/>
        </w:rPr>
      </w:pPr>
    </w:p>
    <w:p w14:paraId="7EC9B4BB" w14:textId="70C978CE" w:rsidR="47403A2D" w:rsidRPr="00EF48F3" w:rsidRDefault="47403A2D" w:rsidP="254E8084">
      <w:pPr>
        <w:jc w:val="both"/>
        <w:rPr>
          <w:rFonts w:ascii="Arial" w:eastAsia="Aptos" w:hAnsi="Arial" w:cs="Arial"/>
        </w:rPr>
      </w:pPr>
    </w:p>
    <w:sectPr w:rsidR="47403A2D" w:rsidRPr="00EF48F3" w:rsidSect="00356E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E6C0"/>
    <w:multiLevelType w:val="hybridMultilevel"/>
    <w:tmpl w:val="39BA24BE"/>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80E963"/>
    <w:multiLevelType w:val="hybridMultilevel"/>
    <w:tmpl w:val="99D056F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B0489D1"/>
    <w:multiLevelType w:val="hybridMultilevel"/>
    <w:tmpl w:val="B65C8598"/>
    <w:lvl w:ilvl="0" w:tplc="FFFFFFFF">
      <w:start w:val="1"/>
      <w:numFmt w:val="decimal"/>
      <w:lvlText w:val="%1."/>
      <w:lvlJc w:val="left"/>
      <w:pPr>
        <w:ind w:left="720" w:hanging="360"/>
      </w:pPr>
    </w:lvl>
    <w:lvl w:ilvl="1" w:tplc="FFFFFFFF">
      <w:start w:val="1"/>
      <w:numFmt w:val="decimal"/>
      <w:lvlText w:val="•"/>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DA21550"/>
    <w:multiLevelType w:val="hybridMultilevel"/>
    <w:tmpl w:val="DB4473EC"/>
    <w:lvl w:ilvl="0" w:tplc="1D141062">
      <w:start w:val="3"/>
      <w:numFmt w:val="bullet"/>
      <w:lvlText w:val="-"/>
      <w:lvlJc w:val="left"/>
      <w:pPr>
        <w:ind w:left="720" w:hanging="360"/>
      </w:pPr>
      <w:rPr>
        <w:rFonts w:ascii="Arial" w:eastAsia="Work San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3B4EEB"/>
    <w:multiLevelType w:val="hybridMultilevel"/>
    <w:tmpl w:val="AC9206E8"/>
    <w:lvl w:ilvl="0" w:tplc="FFFFFFFF">
      <w:start w:val="1"/>
      <w:numFmt w:val="decimal"/>
      <w:lvlText w:val="•"/>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AD42132"/>
    <w:multiLevelType w:val="multilevel"/>
    <w:tmpl w:val="7B48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2181130">
    <w:abstractNumId w:val="1"/>
  </w:num>
  <w:num w:numId="2" w16cid:durableId="1302887161">
    <w:abstractNumId w:val="2"/>
  </w:num>
  <w:num w:numId="3" w16cid:durableId="190806871">
    <w:abstractNumId w:val="4"/>
  </w:num>
  <w:num w:numId="4" w16cid:durableId="417752194">
    <w:abstractNumId w:val="0"/>
  </w:num>
  <w:num w:numId="5" w16cid:durableId="1045107052">
    <w:abstractNumId w:val="5"/>
  </w:num>
  <w:num w:numId="6" w16cid:durableId="1052772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0DB"/>
    <w:rsid w:val="00017ABF"/>
    <w:rsid w:val="000910A3"/>
    <w:rsid w:val="00093D74"/>
    <w:rsid w:val="0011295D"/>
    <w:rsid w:val="00150CB5"/>
    <w:rsid w:val="001A0337"/>
    <w:rsid w:val="0021165B"/>
    <w:rsid w:val="00356EF6"/>
    <w:rsid w:val="00361AB6"/>
    <w:rsid w:val="00365F88"/>
    <w:rsid w:val="004935AA"/>
    <w:rsid w:val="005B38B5"/>
    <w:rsid w:val="00637DD7"/>
    <w:rsid w:val="00684F88"/>
    <w:rsid w:val="006E4248"/>
    <w:rsid w:val="0083245D"/>
    <w:rsid w:val="00860328"/>
    <w:rsid w:val="00954097"/>
    <w:rsid w:val="009B4741"/>
    <w:rsid w:val="00A30151"/>
    <w:rsid w:val="00A955D4"/>
    <w:rsid w:val="00CC50DB"/>
    <w:rsid w:val="00D627F8"/>
    <w:rsid w:val="00E96D09"/>
    <w:rsid w:val="00EF48F3"/>
    <w:rsid w:val="00FA6769"/>
    <w:rsid w:val="00FF5975"/>
    <w:rsid w:val="0A8CB303"/>
    <w:rsid w:val="0D29992F"/>
    <w:rsid w:val="1BA60EAD"/>
    <w:rsid w:val="2075EF97"/>
    <w:rsid w:val="219AA27D"/>
    <w:rsid w:val="24F0A4C8"/>
    <w:rsid w:val="254E8084"/>
    <w:rsid w:val="25DB57C4"/>
    <w:rsid w:val="2675DD63"/>
    <w:rsid w:val="29AFDF16"/>
    <w:rsid w:val="2A4BC48D"/>
    <w:rsid w:val="2DDAF984"/>
    <w:rsid w:val="2F2D476F"/>
    <w:rsid w:val="30DC7987"/>
    <w:rsid w:val="31842146"/>
    <w:rsid w:val="36F69BE3"/>
    <w:rsid w:val="3894039F"/>
    <w:rsid w:val="454FA4BA"/>
    <w:rsid w:val="47403A2D"/>
    <w:rsid w:val="49B982AE"/>
    <w:rsid w:val="4AD554DA"/>
    <w:rsid w:val="4AEF6183"/>
    <w:rsid w:val="5A47D626"/>
    <w:rsid w:val="5DB9688D"/>
    <w:rsid w:val="63113A37"/>
    <w:rsid w:val="6327B837"/>
    <w:rsid w:val="632A56E6"/>
    <w:rsid w:val="6D9C9C92"/>
    <w:rsid w:val="704380DC"/>
    <w:rsid w:val="7099B682"/>
    <w:rsid w:val="72E65216"/>
    <w:rsid w:val="7517FF62"/>
    <w:rsid w:val="76295FDE"/>
    <w:rsid w:val="7AD8FD74"/>
    <w:rsid w:val="7C8E19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763B"/>
  <w15:chartTrackingRefBased/>
  <w15:docId w15:val="{E32AD6E3-4C23-4D90-AA60-D8AF9A41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C50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C50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C50D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C50D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C50D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C50D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C50D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C50D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C50D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50D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C50D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C50D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C50D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C50D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C50D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C50D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C50D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C50DB"/>
    <w:rPr>
      <w:rFonts w:eastAsiaTheme="majorEastAsia" w:cstheme="majorBidi"/>
      <w:color w:val="272727" w:themeColor="text1" w:themeTint="D8"/>
    </w:rPr>
  </w:style>
  <w:style w:type="paragraph" w:styleId="Ttulo">
    <w:name w:val="Title"/>
    <w:basedOn w:val="Normal"/>
    <w:next w:val="Normal"/>
    <w:link w:val="TtuloCar"/>
    <w:uiPriority w:val="10"/>
    <w:qFormat/>
    <w:rsid w:val="00CC50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C50D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C50D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C50D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C50DB"/>
    <w:pPr>
      <w:spacing w:before="160"/>
      <w:jc w:val="center"/>
    </w:pPr>
    <w:rPr>
      <w:i/>
      <w:iCs/>
      <w:color w:val="404040" w:themeColor="text1" w:themeTint="BF"/>
    </w:rPr>
  </w:style>
  <w:style w:type="character" w:customStyle="1" w:styleId="CitaCar">
    <w:name w:val="Cita Car"/>
    <w:basedOn w:val="Fuentedeprrafopredeter"/>
    <w:link w:val="Cita"/>
    <w:uiPriority w:val="29"/>
    <w:rsid w:val="00CC50DB"/>
    <w:rPr>
      <w:i/>
      <w:iCs/>
      <w:color w:val="404040" w:themeColor="text1" w:themeTint="BF"/>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CC50DB"/>
    <w:pPr>
      <w:ind w:left="720"/>
      <w:contextualSpacing/>
    </w:pPr>
  </w:style>
  <w:style w:type="character" w:styleId="nfasisintenso">
    <w:name w:val="Intense Emphasis"/>
    <w:basedOn w:val="Fuentedeprrafopredeter"/>
    <w:uiPriority w:val="21"/>
    <w:qFormat/>
    <w:rsid w:val="00CC50DB"/>
    <w:rPr>
      <w:i/>
      <w:iCs/>
      <w:color w:val="0F4761" w:themeColor="accent1" w:themeShade="BF"/>
    </w:rPr>
  </w:style>
  <w:style w:type="paragraph" w:styleId="Citadestacada">
    <w:name w:val="Intense Quote"/>
    <w:basedOn w:val="Normal"/>
    <w:next w:val="Normal"/>
    <w:link w:val="CitadestacadaCar"/>
    <w:uiPriority w:val="30"/>
    <w:qFormat/>
    <w:rsid w:val="00CC50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C50DB"/>
    <w:rPr>
      <w:i/>
      <w:iCs/>
      <w:color w:val="0F4761" w:themeColor="accent1" w:themeShade="BF"/>
    </w:rPr>
  </w:style>
  <w:style w:type="character" w:styleId="Referenciaintensa">
    <w:name w:val="Intense Reference"/>
    <w:basedOn w:val="Fuentedeprrafopredeter"/>
    <w:uiPriority w:val="32"/>
    <w:qFormat/>
    <w:rsid w:val="00CC50DB"/>
    <w:rPr>
      <w:b/>
      <w:bCs/>
      <w:smallCaps/>
      <w:color w:val="0F4761" w:themeColor="accent1" w:themeShade="BF"/>
      <w:spacing w:val="5"/>
    </w:rPr>
  </w:style>
  <w:style w:type="table" w:styleId="Tablanormal3">
    <w:name w:val="Plain Table 3"/>
    <w:basedOn w:val="Tablanormal"/>
    <w:uiPriority w:val="43"/>
    <w:rsid w:val="004935A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rmalWeb">
    <w:name w:val="Normal (Web)"/>
    <w:basedOn w:val="Normal"/>
    <w:uiPriority w:val="99"/>
    <w:semiHidden/>
    <w:unhideWhenUsed/>
    <w:rsid w:val="00FF5975"/>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83245D"/>
  </w:style>
  <w:style w:type="table" w:styleId="Tablaconcuadrcula">
    <w:name w:val="Table Grid"/>
    <w:basedOn w:val="Tablanormal"/>
    <w:uiPriority w:val="59"/>
    <w:rsid w:val="0083245D"/>
    <w:pPr>
      <w:suppressAutoHyphens/>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8" ma:contentTypeDescription="Crear nuevo documento." ma:contentTypeScope="" ma:versionID="8e0fa2f0c931331feb9d0350dc5ee97d">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dc1cdafa8aa392ed2db2dd9c80899d1e"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62cf36f9-85c4-45f3-b290-a3d33fbf27e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C8A35B-984E-4DE7-97EB-792C9446ACDE}"/>
</file>

<file path=customXml/itemProps2.xml><?xml version="1.0" encoding="utf-8"?>
<ds:datastoreItem xmlns:ds="http://schemas.openxmlformats.org/officeDocument/2006/customXml" ds:itemID="{3C81A615-2FD9-418A-84B2-3920471E272C}"/>
</file>

<file path=customXml/itemProps3.xml><?xml version="1.0" encoding="utf-8"?>
<ds:datastoreItem xmlns:ds="http://schemas.openxmlformats.org/officeDocument/2006/customXml" ds:itemID="{C8951A49-22FB-4B6E-8E77-1EF980A33FB3}"/>
</file>

<file path=docProps/app.xml><?xml version="1.0" encoding="utf-8"?>
<Properties xmlns="http://schemas.openxmlformats.org/officeDocument/2006/extended-properties" xmlns:vt="http://schemas.openxmlformats.org/officeDocument/2006/docPropsVTypes">
  <Template>Normal</Template>
  <TotalTime>22</TotalTime>
  <Pages>8</Pages>
  <Words>2975</Words>
  <Characters>16368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Rodriguez Novoa</dc:creator>
  <cp:keywords/>
  <dc:description/>
  <cp:lastModifiedBy>ERIC MAURICIO COTRINA LEON</cp:lastModifiedBy>
  <cp:revision>6</cp:revision>
  <dcterms:created xsi:type="dcterms:W3CDTF">2026-06-24T22:50:00Z</dcterms:created>
  <dcterms:modified xsi:type="dcterms:W3CDTF">2026-06-25T18:33:00Z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0x01010005CCD901C4501449A86A24F4F0AC0678</vt:lpwstr>
  </property>
</Properties>
</file>